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C983C8" w14:textId="47422A52" w:rsidR="00E6292E" w:rsidRPr="00E6292E" w:rsidRDefault="00A92CD0" w:rsidP="00E6292E">
      <w:pPr>
        <w:spacing w:after="0" w:line="240" w:lineRule="auto"/>
        <w:jc w:val="center"/>
        <w:rPr>
          <w:rFonts w:ascii="Garamond" w:hAnsi="Garamond"/>
          <w:b/>
          <w:sz w:val="16"/>
          <w:szCs w:val="16"/>
        </w:rPr>
      </w:pPr>
      <w:r w:rsidRPr="00E6292E">
        <w:rPr>
          <w:rFonts w:ascii="Garamond" w:hAnsi="Garamond"/>
          <w:b/>
          <w:sz w:val="16"/>
          <w:szCs w:val="16"/>
        </w:rPr>
        <w:t>Védelem Tudomány 202</w:t>
      </w:r>
      <w:r w:rsidR="002D1137" w:rsidRPr="00E6292E">
        <w:rPr>
          <w:rFonts w:ascii="Garamond" w:hAnsi="Garamond"/>
          <w:b/>
          <w:sz w:val="16"/>
          <w:szCs w:val="16"/>
        </w:rPr>
        <w:t>4</w:t>
      </w:r>
      <w:r w:rsidRPr="00E6292E">
        <w:rPr>
          <w:rFonts w:ascii="Garamond" w:hAnsi="Garamond"/>
          <w:b/>
          <w:sz w:val="16"/>
          <w:szCs w:val="16"/>
        </w:rPr>
        <w:t xml:space="preserve">. </w:t>
      </w:r>
      <w:r w:rsidR="003F058B" w:rsidRPr="00E6292E">
        <w:rPr>
          <w:rFonts w:ascii="Garamond" w:hAnsi="Garamond"/>
          <w:b/>
          <w:sz w:val="16"/>
          <w:szCs w:val="16"/>
        </w:rPr>
        <w:t xml:space="preserve">különszám </w:t>
      </w:r>
      <w:r w:rsidR="00E6292E" w:rsidRPr="00E6292E">
        <w:rPr>
          <w:rFonts w:ascii="Garamond" w:hAnsi="Garamond"/>
          <w:b/>
          <w:sz w:val="16"/>
          <w:szCs w:val="16"/>
        </w:rPr>
        <w:t>- Természeti Katasztrófák Csökkentésének Világnapja</w:t>
      </w:r>
    </w:p>
    <w:p w14:paraId="2F680055" w14:textId="37E77A8A" w:rsidR="00A930AC" w:rsidRDefault="00E6292E" w:rsidP="00E6292E">
      <w:pPr>
        <w:spacing w:after="0" w:line="240" w:lineRule="auto"/>
        <w:jc w:val="center"/>
        <w:rPr>
          <w:rFonts w:ascii="Garamond" w:hAnsi="Garamond"/>
          <w:b/>
          <w:sz w:val="16"/>
          <w:szCs w:val="16"/>
        </w:rPr>
      </w:pPr>
      <w:r w:rsidRPr="00E6292E">
        <w:rPr>
          <w:rFonts w:ascii="Garamond" w:hAnsi="Garamond"/>
          <w:b/>
          <w:sz w:val="16"/>
          <w:szCs w:val="16"/>
        </w:rPr>
        <w:t xml:space="preserve">Nemzeti Közszolgálati Egyetem </w:t>
      </w:r>
      <w:r w:rsidR="002D1137" w:rsidRPr="00E6292E">
        <w:rPr>
          <w:rFonts w:ascii="Garamond" w:hAnsi="Garamond"/>
          <w:b/>
          <w:sz w:val="16"/>
          <w:szCs w:val="16"/>
        </w:rPr>
        <w:t xml:space="preserve">nemzetközi tudományos </w:t>
      </w:r>
      <w:r w:rsidR="003F058B" w:rsidRPr="00E6292E">
        <w:rPr>
          <w:rFonts w:ascii="Garamond" w:hAnsi="Garamond"/>
          <w:b/>
          <w:sz w:val="16"/>
          <w:szCs w:val="16"/>
        </w:rPr>
        <w:t>konferencia</w:t>
      </w:r>
    </w:p>
    <w:p w14:paraId="4654DEFE" w14:textId="4F3DBBD9" w:rsidR="00554E63" w:rsidRDefault="00554E63" w:rsidP="00E6292E">
      <w:pPr>
        <w:spacing w:after="0" w:line="240" w:lineRule="auto"/>
        <w:jc w:val="center"/>
        <w:rPr>
          <w:rFonts w:ascii="Garamond" w:hAnsi="Garamond"/>
          <w:b/>
          <w:sz w:val="16"/>
          <w:szCs w:val="16"/>
        </w:rPr>
      </w:pPr>
      <w:r>
        <w:rPr>
          <w:rFonts w:ascii="Garamond" w:hAnsi="Garamond"/>
          <w:b/>
          <w:sz w:val="16"/>
          <w:szCs w:val="16"/>
        </w:rPr>
        <w:t>Konferenciaközlemény</w:t>
      </w:r>
    </w:p>
    <w:p w14:paraId="143E1EF3" w14:textId="160C26C0" w:rsidR="0054168F" w:rsidRDefault="0054168F" w:rsidP="00554E63">
      <w:pPr>
        <w:spacing w:before="360" w:after="0" w:line="240" w:lineRule="auto"/>
        <w:jc w:val="center"/>
        <w:rPr>
          <w:rFonts w:ascii="Garamond" w:hAnsi="Garamond"/>
          <w:sz w:val="40"/>
          <w:szCs w:val="40"/>
        </w:rPr>
      </w:pPr>
      <w:r w:rsidRPr="0054168F">
        <w:rPr>
          <w:rFonts w:ascii="Garamond" w:hAnsi="Garamond"/>
          <w:sz w:val="40"/>
          <w:szCs w:val="40"/>
        </w:rPr>
        <w:t>A 2001. évi tiszai árvíz során károsodott települések helyreállításának és újjáépítésének tapasztalatai</w:t>
      </w:r>
    </w:p>
    <w:p w14:paraId="36A62DBF" w14:textId="7D37B8D7" w:rsidR="0054168F" w:rsidRPr="0054168F" w:rsidRDefault="0054168F" w:rsidP="00E805D0">
      <w:pPr>
        <w:spacing w:before="240" w:after="0" w:line="240" w:lineRule="auto"/>
        <w:jc w:val="center"/>
        <w:rPr>
          <w:rFonts w:ascii="Garamond" w:hAnsi="Garamond"/>
          <w:sz w:val="40"/>
          <w:szCs w:val="40"/>
        </w:rPr>
      </w:pPr>
      <w:r w:rsidRPr="0054168F">
        <w:rPr>
          <w:rFonts w:ascii="Garamond" w:hAnsi="Garamond"/>
          <w:sz w:val="40"/>
          <w:szCs w:val="40"/>
          <w:lang w:val="en"/>
        </w:rPr>
        <w:t>Experiences of the re</w:t>
      </w:r>
      <w:r>
        <w:rPr>
          <w:rFonts w:ascii="Garamond" w:hAnsi="Garamond"/>
          <w:sz w:val="40"/>
          <w:szCs w:val="40"/>
          <w:lang w:val="en"/>
        </w:rPr>
        <w:t>storation</w:t>
      </w:r>
      <w:r w:rsidRPr="0054168F">
        <w:rPr>
          <w:rFonts w:ascii="Garamond" w:hAnsi="Garamond"/>
          <w:sz w:val="40"/>
          <w:szCs w:val="40"/>
          <w:lang w:val="en"/>
        </w:rPr>
        <w:t xml:space="preserve"> and reconstruction of settlements damaged by the 2001 Tisza flood</w:t>
      </w:r>
    </w:p>
    <w:tbl>
      <w:tblPr>
        <w:tblStyle w:val="Rcsostblzat"/>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7F0DED" w:rsidRPr="00FE512E" w14:paraId="6037D27E" w14:textId="77777777" w:rsidTr="002D1137">
        <w:trPr>
          <w:jc w:val="center"/>
        </w:trPr>
        <w:tc>
          <w:tcPr>
            <w:tcW w:w="9062" w:type="dxa"/>
            <w:gridSpan w:val="2"/>
            <w:vAlign w:val="center"/>
          </w:tcPr>
          <w:p w14:paraId="204BB216" w14:textId="4790BC73" w:rsidR="007F0DED" w:rsidRPr="00B73EAD" w:rsidRDefault="0054168F" w:rsidP="007F0DED">
            <w:pPr>
              <w:spacing w:before="240"/>
              <w:jc w:val="center"/>
              <w:rPr>
                <w:rFonts w:ascii="Garamond" w:hAnsi="Garamond"/>
                <w:sz w:val="20"/>
                <w:szCs w:val="20"/>
              </w:rPr>
            </w:pPr>
            <w:r>
              <w:rPr>
                <w:rFonts w:ascii="Garamond" w:hAnsi="Garamond"/>
                <w:sz w:val="20"/>
                <w:szCs w:val="20"/>
              </w:rPr>
              <w:t>Dr. Ambrusz József</w:t>
            </w:r>
          </w:p>
          <w:p w14:paraId="57DEDEDF" w14:textId="4AD84DFD" w:rsidR="00B15CD6" w:rsidRPr="00B73EAD" w:rsidRDefault="0054168F" w:rsidP="007F0DED">
            <w:pPr>
              <w:jc w:val="center"/>
              <w:rPr>
                <w:rFonts w:ascii="Garamond" w:hAnsi="Garamond"/>
                <w:sz w:val="20"/>
                <w:szCs w:val="20"/>
              </w:rPr>
            </w:pPr>
            <w:r>
              <w:rPr>
                <w:rFonts w:ascii="Garamond" w:hAnsi="Garamond"/>
                <w:sz w:val="20"/>
                <w:szCs w:val="20"/>
              </w:rPr>
              <w:t>Nemzeti Közszolgálati</w:t>
            </w:r>
            <w:r w:rsidR="00B15CD6" w:rsidRPr="00B73EAD">
              <w:rPr>
                <w:rFonts w:ascii="Garamond" w:hAnsi="Garamond"/>
                <w:sz w:val="20"/>
                <w:szCs w:val="20"/>
              </w:rPr>
              <w:t xml:space="preserve"> Egyetem, </w:t>
            </w:r>
            <w:r>
              <w:rPr>
                <w:rFonts w:ascii="Garamond" w:hAnsi="Garamond"/>
                <w:sz w:val="20"/>
                <w:szCs w:val="20"/>
              </w:rPr>
              <w:t>Rendészettudományi</w:t>
            </w:r>
            <w:r w:rsidR="00B15CD6" w:rsidRPr="00B73EAD">
              <w:rPr>
                <w:rFonts w:ascii="Garamond" w:hAnsi="Garamond"/>
                <w:sz w:val="20"/>
                <w:szCs w:val="20"/>
              </w:rPr>
              <w:t xml:space="preserve"> Kar, </w:t>
            </w:r>
          </w:p>
          <w:p w14:paraId="6D5981FF" w14:textId="42650C28" w:rsidR="0054168F" w:rsidRDefault="0054168F" w:rsidP="007F0DED">
            <w:pPr>
              <w:jc w:val="center"/>
              <w:rPr>
                <w:rFonts w:ascii="Garamond" w:hAnsi="Garamond"/>
                <w:sz w:val="20"/>
                <w:szCs w:val="20"/>
              </w:rPr>
            </w:pPr>
            <w:r>
              <w:rPr>
                <w:rFonts w:ascii="Garamond" w:hAnsi="Garamond"/>
                <w:sz w:val="20"/>
                <w:szCs w:val="20"/>
              </w:rPr>
              <w:t>Katasztrófavédelmi Intézet</w:t>
            </w:r>
          </w:p>
          <w:p w14:paraId="12FBC306" w14:textId="39593CDB" w:rsidR="007F0DED" w:rsidRPr="00B73EAD" w:rsidRDefault="0054168F" w:rsidP="007F0DED">
            <w:pPr>
              <w:jc w:val="center"/>
              <w:rPr>
                <w:rFonts w:ascii="Garamond" w:hAnsi="Garamond"/>
                <w:sz w:val="20"/>
                <w:szCs w:val="20"/>
              </w:rPr>
            </w:pPr>
            <w:r>
              <w:rPr>
                <w:rFonts w:ascii="Garamond" w:hAnsi="Garamond"/>
                <w:sz w:val="20"/>
                <w:szCs w:val="20"/>
              </w:rPr>
              <w:t xml:space="preserve">Katasztrófavédelmi Műveleti </w:t>
            </w:r>
            <w:r w:rsidR="00B15CD6" w:rsidRPr="00B73EAD">
              <w:rPr>
                <w:rFonts w:ascii="Garamond" w:hAnsi="Garamond"/>
                <w:sz w:val="20"/>
                <w:szCs w:val="20"/>
              </w:rPr>
              <w:t>Tanszék</w:t>
            </w:r>
          </w:p>
          <w:p w14:paraId="5F75662A" w14:textId="5E7ED5E0" w:rsidR="007F0DED" w:rsidRPr="00B73EAD" w:rsidRDefault="0054168F" w:rsidP="007F0DED">
            <w:pPr>
              <w:jc w:val="center"/>
              <w:rPr>
                <w:rFonts w:ascii="Garamond" w:hAnsi="Garamond"/>
                <w:sz w:val="20"/>
                <w:szCs w:val="20"/>
              </w:rPr>
            </w:pPr>
            <w:r>
              <w:rPr>
                <w:rFonts w:ascii="Garamond" w:hAnsi="Garamond"/>
                <w:sz w:val="20"/>
                <w:szCs w:val="20"/>
              </w:rPr>
              <w:t>tanszékvezető</w:t>
            </w:r>
            <w:r w:rsidR="002340D7">
              <w:rPr>
                <w:rFonts w:ascii="Garamond" w:hAnsi="Garamond"/>
                <w:sz w:val="20"/>
                <w:szCs w:val="20"/>
              </w:rPr>
              <w:t>, egyetemi docens</w:t>
            </w:r>
          </w:p>
          <w:p w14:paraId="6F0DE109" w14:textId="3DD5A530" w:rsidR="00B15CD6" w:rsidRPr="00B73EAD" w:rsidRDefault="00B15CD6" w:rsidP="00B15CD6">
            <w:pPr>
              <w:jc w:val="center"/>
              <w:rPr>
                <w:rFonts w:ascii="Garamond" w:hAnsi="Garamond"/>
                <w:sz w:val="20"/>
                <w:szCs w:val="20"/>
              </w:rPr>
            </w:pPr>
            <w:r w:rsidRPr="00B73EAD">
              <w:rPr>
                <w:rFonts w:ascii="Garamond" w:hAnsi="Garamond"/>
                <w:sz w:val="20"/>
                <w:szCs w:val="20"/>
              </w:rPr>
              <w:t>Email:</w:t>
            </w:r>
            <w:r w:rsidR="0054168F">
              <w:rPr>
                <w:rFonts w:ascii="Garamond" w:hAnsi="Garamond"/>
                <w:sz w:val="20"/>
                <w:szCs w:val="20"/>
              </w:rPr>
              <w:t xml:space="preserve"> </w:t>
            </w:r>
            <w:r w:rsidR="0054168F" w:rsidRPr="0054168F">
              <w:rPr>
                <w:rFonts w:ascii="Garamond" w:hAnsi="Garamond"/>
                <w:color w:val="2F5496" w:themeColor="accent1" w:themeShade="BF"/>
                <w:sz w:val="20"/>
                <w:szCs w:val="20"/>
              </w:rPr>
              <w:t>ambrusz</w:t>
            </w:r>
            <w:r w:rsidRPr="00B73EAD">
              <w:rPr>
                <w:rFonts w:ascii="Garamond" w:hAnsi="Garamond"/>
                <w:color w:val="2F5496" w:themeColor="accent1" w:themeShade="BF"/>
                <w:sz w:val="20"/>
                <w:szCs w:val="20"/>
              </w:rPr>
              <w:t>.</w:t>
            </w:r>
            <w:r w:rsidR="0054168F">
              <w:rPr>
                <w:rFonts w:ascii="Garamond" w:hAnsi="Garamond"/>
                <w:color w:val="2F5496" w:themeColor="accent1" w:themeShade="BF"/>
                <w:sz w:val="20"/>
                <w:szCs w:val="20"/>
              </w:rPr>
              <w:t>jozsef</w:t>
            </w:r>
            <w:r w:rsidRPr="00B73EAD">
              <w:rPr>
                <w:rFonts w:ascii="Garamond" w:hAnsi="Garamond"/>
                <w:color w:val="2F5496" w:themeColor="accent1" w:themeShade="BF"/>
                <w:sz w:val="20"/>
                <w:szCs w:val="20"/>
              </w:rPr>
              <w:t>@</w:t>
            </w:r>
            <w:r w:rsidR="0054168F">
              <w:rPr>
                <w:rFonts w:ascii="Garamond" w:hAnsi="Garamond"/>
                <w:color w:val="2F5496" w:themeColor="accent1" w:themeShade="BF"/>
                <w:sz w:val="20"/>
                <w:szCs w:val="20"/>
              </w:rPr>
              <w:t>uni-nke</w:t>
            </w:r>
            <w:r w:rsidRPr="00B73EAD">
              <w:rPr>
                <w:rFonts w:ascii="Garamond" w:hAnsi="Garamond"/>
                <w:color w:val="2F5496" w:themeColor="accent1" w:themeShade="BF"/>
                <w:sz w:val="20"/>
                <w:szCs w:val="20"/>
              </w:rPr>
              <w:t>.hu</w:t>
            </w:r>
          </w:p>
          <w:p w14:paraId="795C9004" w14:textId="76A64AE0" w:rsidR="00B15CD6" w:rsidRPr="00B73EAD" w:rsidRDefault="00B15CD6" w:rsidP="00B15CD6">
            <w:pPr>
              <w:jc w:val="center"/>
              <w:rPr>
                <w:rFonts w:ascii="Garamond" w:hAnsi="Garamond"/>
                <w:sz w:val="20"/>
                <w:szCs w:val="20"/>
              </w:rPr>
            </w:pPr>
            <w:r w:rsidRPr="00B73EAD">
              <w:rPr>
                <w:rFonts w:ascii="Garamond" w:hAnsi="Garamond"/>
                <w:sz w:val="20"/>
                <w:szCs w:val="20"/>
              </w:rPr>
              <w:t xml:space="preserve">ORCID: </w:t>
            </w:r>
            <w:r w:rsidR="0054168F" w:rsidRPr="0054168F">
              <w:rPr>
                <w:rFonts w:ascii="Garamond" w:hAnsi="Garamond"/>
                <w:sz w:val="20"/>
                <w:szCs w:val="20"/>
              </w:rPr>
              <w:t>0000-0001-8062-091X</w:t>
            </w:r>
          </w:p>
          <w:p w14:paraId="040C2017" w14:textId="64935ED2" w:rsidR="00B15CD6" w:rsidRPr="00191724" w:rsidRDefault="00B15CD6" w:rsidP="0054168F">
            <w:pPr>
              <w:jc w:val="center"/>
              <w:rPr>
                <w:rFonts w:ascii="Garamond" w:hAnsi="Garamond"/>
                <w:sz w:val="20"/>
                <w:szCs w:val="20"/>
              </w:rPr>
            </w:pPr>
          </w:p>
        </w:tc>
      </w:tr>
      <w:tr w:rsidR="003F058B" w:rsidRPr="00FE512E" w14:paraId="0C4D3758" w14:textId="77777777" w:rsidTr="002D113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22"/>
        </w:trPr>
        <w:tc>
          <w:tcPr>
            <w:tcW w:w="9062" w:type="dxa"/>
            <w:gridSpan w:val="2"/>
            <w:tcBorders>
              <w:top w:val="nil"/>
              <w:left w:val="nil"/>
              <w:bottom w:val="nil"/>
              <w:right w:val="nil"/>
            </w:tcBorders>
          </w:tcPr>
          <w:p w14:paraId="58931832" w14:textId="77777777" w:rsidR="003F058B" w:rsidRPr="00FE2B79" w:rsidRDefault="003F058B" w:rsidP="003F058B">
            <w:pPr>
              <w:shd w:val="clear" w:color="auto" w:fill="E1D7B6"/>
              <w:rPr>
                <w:rFonts w:ascii="Garamond" w:hAnsi="Garamond"/>
                <w:sz w:val="24"/>
                <w:szCs w:val="24"/>
              </w:rPr>
            </w:pPr>
          </w:p>
          <w:p w14:paraId="42DBEC9B" w14:textId="62FC1494" w:rsidR="00E6292E" w:rsidRPr="00FE2B79" w:rsidRDefault="00E6292E" w:rsidP="00E6292E">
            <w:pPr>
              <w:spacing w:before="240" w:after="240"/>
              <w:jc w:val="center"/>
              <w:rPr>
                <w:rFonts w:ascii="Garamond" w:hAnsi="Garamond"/>
                <w:b/>
                <w:sz w:val="24"/>
                <w:szCs w:val="24"/>
              </w:rPr>
            </w:pPr>
            <w:r w:rsidRPr="00FE2B79">
              <w:rPr>
                <w:rFonts w:ascii="Garamond" w:hAnsi="Garamond"/>
                <w:b/>
                <w:sz w:val="24"/>
                <w:szCs w:val="24"/>
              </w:rPr>
              <w:t xml:space="preserve">Bevezetés </w:t>
            </w:r>
            <w:r w:rsidRPr="00FE2B79">
              <w:rPr>
                <w:rFonts w:ascii="Garamond" w:hAnsi="Garamond"/>
                <w:b/>
                <w:color w:val="FF0000"/>
                <w:sz w:val="24"/>
                <w:szCs w:val="24"/>
              </w:rPr>
              <w:t xml:space="preserve">(kötelező, </w:t>
            </w:r>
            <w:r w:rsidR="00F271D8" w:rsidRPr="00FE2B79">
              <w:rPr>
                <w:rFonts w:ascii="Garamond" w:hAnsi="Garamond"/>
                <w:b/>
                <w:color w:val="FF0000"/>
                <w:sz w:val="24"/>
                <w:szCs w:val="24"/>
              </w:rPr>
              <w:t xml:space="preserve">minimum 500, </w:t>
            </w:r>
            <w:r w:rsidRPr="00FE2B79">
              <w:rPr>
                <w:rFonts w:ascii="Garamond" w:hAnsi="Garamond"/>
                <w:b/>
                <w:color w:val="FF0000"/>
                <w:sz w:val="24"/>
                <w:szCs w:val="24"/>
              </w:rPr>
              <w:t>maximum 1000 karakter terjedelem)</w:t>
            </w:r>
          </w:p>
          <w:p w14:paraId="6B1DB595" w14:textId="1D8BCA91" w:rsidR="0081220D" w:rsidRPr="00FE2B79" w:rsidRDefault="0081220D" w:rsidP="00E6292E">
            <w:pPr>
              <w:jc w:val="both"/>
              <w:rPr>
                <w:rFonts w:ascii="Garamond" w:hAnsi="Garamond"/>
                <w:bCs/>
                <w:iCs/>
                <w:sz w:val="24"/>
                <w:szCs w:val="24"/>
              </w:rPr>
            </w:pPr>
            <w:r w:rsidRPr="00FE2B79">
              <w:rPr>
                <w:rFonts w:ascii="Garamond" w:hAnsi="Garamond"/>
                <w:sz w:val="24"/>
                <w:szCs w:val="24"/>
              </w:rPr>
              <w:t>2001. március első hetében az esőzés és hóolvadás együttes hatására jelentős árhullám alakult ki a Felső-Tiszán. A vízszint 36 óra alatt több mint 7 m-t emelkedett, március 6-án a tivadari szakaszon minden addig észlelt vízállást meghaladó, 1014 cm-es értéket ért el. Március 6-án Tarpánál a töltés mintegy 3 km hosszban megcsúszott, majd gyors egymásutánban két egymáshoz közeli helyen átszakadt. Mintegy 140 millió m</w:t>
            </w:r>
            <w:r w:rsidRPr="00FE2B79">
              <w:rPr>
                <w:rFonts w:ascii="Garamond" w:hAnsi="Garamond"/>
                <w:sz w:val="24"/>
                <w:szCs w:val="24"/>
                <w:vertAlign w:val="superscript"/>
              </w:rPr>
              <w:t>3</w:t>
            </w:r>
            <w:r w:rsidRPr="00FE2B79">
              <w:rPr>
                <w:rFonts w:ascii="Garamond" w:hAnsi="Garamond"/>
                <w:sz w:val="24"/>
                <w:szCs w:val="24"/>
              </w:rPr>
              <w:t xml:space="preserve"> víz áradt a beregi öblözet déli területére. A felgyülemlett víz elvezetése érdekében a 41-es számú főutat két helyen át kellett vágni. Az </w:t>
            </w:r>
            <w:r w:rsidR="004B75BA" w:rsidRPr="00FE2B79">
              <w:rPr>
                <w:rFonts w:ascii="Garamond" w:hAnsi="Garamond"/>
                <w:sz w:val="24"/>
                <w:szCs w:val="24"/>
              </w:rPr>
              <w:t>u</w:t>
            </w:r>
            <w:r w:rsidRPr="00FE2B79">
              <w:rPr>
                <w:rFonts w:ascii="Garamond" w:hAnsi="Garamond"/>
                <w:sz w:val="24"/>
                <w:szCs w:val="24"/>
              </w:rPr>
              <w:t xml:space="preserve">krán területről átfolyó vizek, illetve a Túr magas vízállása miatt Sonkád felett gátsuvadás következett be, Kispalád térségében 5-800 m-es szakaszon a Palád patak gátján átbukott a víz. A 2001. évi tavaszi tiszai árhullám, a Tarpa térségében bekövetkezett gátszakadás és a 41-es számú főút átvágása következtében az árvíz elöntötte a teljes beregi öblözetet és jelentős károkat okozott Szabolcs-Szatmár-Bereg megye </w:t>
            </w:r>
            <w:r w:rsidR="007B217A" w:rsidRPr="00FE2B79">
              <w:rPr>
                <w:rFonts w:ascii="Garamond" w:hAnsi="Garamond"/>
                <w:sz w:val="24"/>
                <w:szCs w:val="24"/>
              </w:rPr>
              <w:t>több</w:t>
            </w:r>
            <w:r w:rsidRPr="00FE2B79">
              <w:rPr>
                <w:rFonts w:ascii="Garamond" w:hAnsi="Garamond"/>
                <w:sz w:val="24"/>
                <w:szCs w:val="24"/>
              </w:rPr>
              <w:t xml:space="preserve"> település</w:t>
            </w:r>
            <w:r w:rsidR="004B75BA" w:rsidRPr="00FE2B79">
              <w:rPr>
                <w:rFonts w:ascii="Garamond" w:hAnsi="Garamond"/>
                <w:sz w:val="24"/>
                <w:szCs w:val="24"/>
              </w:rPr>
              <w:t>én</w:t>
            </w:r>
            <w:r w:rsidRPr="00FE2B79">
              <w:rPr>
                <w:rFonts w:ascii="Garamond" w:hAnsi="Garamond"/>
                <w:sz w:val="24"/>
                <w:szCs w:val="24"/>
              </w:rPr>
              <w:t xml:space="preserve"> is. </w:t>
            </w:r>
          </w:p>
          <w:p w14:paraId="20E63544" w14:textId="57DF41E7" w:rsidR="00E6292E" w:rsidRPr="00FE2B79" w:rsidRDefault="00E6292E" w:rsidP="00E6292E">
            <w:pPr>
              <w:spacing w:before="240" w:after="240"/>
              <w:jc w:val="center"/>
              <w:rPr>
                <w:rFonts w:ascii="Garamond" w:hAnsi="Garamond"/>
                <w:b/>
                <w:sz w:val="24"/>
                <w:szCs w:val="24"/>
              </w:rPr>
            </w:pPr>
            <w:r w:rsidRPr="00FE2B79">
              <w:rPr>
                <w:rFonts w:ascii="Garamond" w:hAnsi="Garamond"/>
                <w:b/>
                <w:sz w:val="24"/>
                <w:szCs w:val="24"/>
              </w:rPr>
              <w:t>Introduction</w:t>
            </w:r>
            <w:r w:rsidRPr="00FE2B79">
              <w:rPr>
                <w:rFonts w:ascii="Garamond" w:hAnsi="Garamond"/>
                <w:b/>
                <w:sz w:val="24"/>
                <w:szCs w:val="24"/>
              </w:rPr>
              <w:t xml:space="preserve"> </w:t>
            </w:r>
            <w:r w:rsidR="00F271D8" w:rsidRPr="00FE2B79">
              <w:rPr>
                <w:rFonts w:ascii="Garamond" w:hAnsi="Garamond"/>
                <w:b/>
                <w:color w:val="FF0000"/>
                <w:sz w:val="24"/>
                <w:szCs w:val="24"/>
              </w:rPr>
              <w:t>(kötelező, minimum 500, maximum 1000 karakter terjedelem)</w:t>
            </w:r>
          </w:p>
          <w:p w14:paraId="394267B4" w14:textId="6E84F992" w:rsidR="00E6292E" w:rsidRPr="00E6292E" w:rsidRDefault="00E6292E" w:rsidP="00F271D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both"/>
              <w:rPr>
                <w:rFonts w:ascii="Garamond" w:hAnsi="Garamond"/>
                <w:sz w:val="24"/>
                <w:szCs w:val="24"/>
              </w:rPr>
            </w:pPr>
            <w:r w:rsidRPr="00FE2B79">
              <w:rPr>
                <w:rFonts w:ascii="Garamond" w:hAnsi="Garamond"/>
                <w:sz w:val="24"/>
                <w:szCs w:val="24"/>
              </w:rPr>
              <w:t xml:space="preserve">In the first week of March 2001, the combination of rain and snowmelt caused a significant flood wave in the Upper Tisza. The water level rose by more than 7 m in 36 hours, and on March 6, it reached a value of 1,014 cm, exceeding any previously recorded water level in the Tivadar section. On March 6, at Tarpa, the embankment slipped about 3 km in length, then broke through in two places close to each other in quick succession. About 140 million m3 of water flowed into the southern area of </w:t>
            </w:r>
            <w:r w:rsidRPr="00FE2B79">
              <w:rPr>
                <w:rFonts w:ascii="Times New Roman" w:hAnsi="Times New Roman" w:cs="Times New Roman"/>
                <w:sz w:val="24"/>
                <w:szCs w:val="24"/>
              </w:rPr>
              <w:t>​​</w:t>
            </w:r>
            <w:r w:rsidRPr="00FE2B79">
              <w:rPr>
                <w:rFonts w:ascii="Garamond" w:hAnsi="Garamond"/>
                <w:sz w:val="24"/>
                <w:szCs w:val="24"/>
              </w:rPr>
              <w:t xml:space="preserve">the Bereg basin. In order to drain the accumulated water, highway number 41 had to be cut in two places. Due to the waters flowing through from the Ukrainian territory and the high water level of the Túr, dam erosion occurred above Sonkád, in the area of </w:t>
            </w:r>
            <w:r w:rsidRPr="00FE2B79">
              <w:rPr>
                <w:rFonts w:ascii="Times New Roman" w:hAnsi="Times New Roman" w:cs="Times New Roman"/>
                <w:sz w:val="24"/>
                <w:szCs w:val="24"/>
              </w:rPr>
              <w:t>​​</w:t>
            </w:r>
            <w:r w:rsidRPr="00FE2B79">
              <w:rPr>
                <w:rFonts w:ascii="Garamond" w:hAnsi="Garamond"/>
                <w:sz w:val="24"/>
                <w:szCs w:val="24"/>
              </w:rPr>
              <w:t>Kispal</w:t>
            </w:r>
            <w:r w:rsidRPr="00FE2B79">
              <w:rPr>
                <w:rFonts w:ascii="Garamond" w:hAnsi="Garamond" w:cs="Garamond"/>
                <w:sz w:val="24"/>
                <w:szCs w:val="24"/>
              </w:rPr>
              <w:t>á</w:t>
            </w:r>
            <w:r w:rsidRPr="00FE2B79">
              <w:rPr>
                <w:rFonts w:ascii="Garamond" w:hAnsi="Garamond"/>
                <w:sz w:val="24"/>
                <w:szCs w:val="24"/>
              </w:rPr>
              <w:t>d, the water broke through the dam of the Palad stream in a section of 5-800 m. As a result of the Tisza spring flood of 2001, the breach of the dam in the Tarpa area and the cutting of the main road No. 41, the flood flooded the entire Bereg bay area</w:t>
            </w:r>
            <w:r w:rsidR="00387B9D" w:rsidRPr="00FE2B79">
              <w:rPr>
                <w:rFonts w:ascii="Garamond" w:hAnsi="Garamond"/>
                <w:sz w:val="24"/>
                <w:szCs w:val="24"/>
              </w:rPr>
              <w:t xml:space="preserve">. </w:t>
            </w:r>
            <w:bookmarkStart w:id="0" w:name="_GoBack"/>
            <w:bookmarkEnd w:id="0"/>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8"/>
              <w:gridCol w:w="4418"/>
            </w:tblGrid>
            <w:tr w:rsidR="00F271D8" w:rsidRPr="00FE2B79" w14:paraId="66146AC7" w14:textId="77777777" w:rsidTr="00F271D8">
              <w:tc>
                <w:tcPr>
                  <w:tcW w:w="4418" w:type="dxa"/>
                </w:tcPr>
                <w:p w14:paraId="45191453" w14:textId="283E560D" w:rsidR="00F271D8" w:rsidRPr="00FE2B79" w:rsidRDefault="00F271D8" w:rsidP="00F271D8">
                  <w:pPr>
                    <w:spacing w:before="120"/>
                    <w:rPr>
                      <w:rFonts w:ascii="Garamond" w:hAnsi="Garamond"/>
                      <w:b/>
                      <w:sz w:val="24"/>
                      <w:szCs w:val="24"/>
                    </w:rPr>
                  </w:pPr>
                  <w:r w:rsidRPr="00FE2B79">
                    <w:rPr>
                      <w:rFonts w:ascii="Garamond" w:hAnsi="Garamond"/>
                      <w:sz w:val="24"/>
                      <w:szCs w:val="24"/>
                    </w:rPr>
                    <w:t>Kulcsszavak: katasztrófa, katasztrófa helyreállítás, kompenzáció, lakóingatlan</w:t>
                  </w:r>
                </w:p>
              </w:tc>
              <w:tc>
                <w:tcPr>
                  <w:tcW w:w="4418" w:type="dxa"/>
                </w:tcPr>
                <w:p w14:paraId="5F621445" w14:textId="77777777" w:rsidR="00F271D8" w:rsidRPr="00FE2B79" w:rsidRDefault="00F271D8" w:rsidP="00F271D8">
                  <w:pPr>
                    <w:spacing w:before="120" w:after="120"/>
                    <w:rPr>
                      <w:rFonts w:ascii="Garamond" w:hAnsi="Garamond"/>
                      <w:sz w:val="24"/>
                      <w:szCs w:val="24"/>
                    </w:rPr>
                  </w:pPr>
                  <w:r w:rsidRPr="00FE2B79">
                    <w:rPr>
                      <w:rFonts w:ascii="Garamond" w:hAnsi="Garamond"/>
                      <w:sz w:val="24"/>
                      <w:szCs w:val="24"/>
                      <w:lang w:val="en-GB"/>
                    </w:rPr>
                    <w:t xml:space="preserve">Keywords: </w:t>
                  </w:r>
                  <w:r w:rsidRPr="00FE2B79">
                    <w:rPr>
                      <w:rFonts w:ascii="Garamond" w:hAnsi="Garamond"/>
                      <w:sz w:val="24"/>
                      <w:szCs w:val="24"/>
                      <w:lang w:val="en"/>
                    </w:rPr>
                    <w:t>disaster, post-disaster recovery, compensation, residential property</w:t>
                  </w:r>
                </w:p>
                <w:p w14:paraId="6E2D975B" w14:textId="77777777" w:rsidR="00F271D8" w:rsidRPr="00FE2B79" w:rsidRDefault="00F271D8" w:rsidP="00E6292E">
                  <w:pPr>
                    <w:spacing w:before="120"/>
                    <w:jc w:val="center"/>
                    <w:rPr>
                      <w:rFonts w:ascii="Garamond" w:hAnsi="Garamond"/>
                      <w:b/>
                      <w:sz w:val="24"/>
                      <w:szCs w:val="24"/>
                    </w:rPr>
                  </w:pPr>
                </w:p>
              </w:tc>
            </w:tr>
          </w:tbl>
          <w:p w14:paraId="01DFCC7B" w14:textId="5BEEB2F3" w:rsidR="00E6292E" w:rsidRPr="00FE2B79" w:rsidRDefault="00E6292E" w:rsidP="00E6292E">
            <w:pPr>
              <w:spacing w:before="120"/>
              <w:jc w:val="center"/>
              <w:rPr>
                <w:rFonts w:ascii="Garamond" w:hAnsi="Garamond"/>
                <w:b/>
                <w:sz w:val="24"/>
                <w:szCs w:val="24"/>
              </w:rPr>
            </w:pPr>
            <w:r w:rsidRPr="00FE2B79">
              <w:rPr>
                <w:rFonts w:ascii="Garamond" w:hAnsi="Garamond"/>
                <w:b/>
                <w:sz w:val="24"/>
                <w:szCs w:val="24"/>
              </w:rPr>
              <w:lastRenderedPageBreak/>
              <w:t>Fő rész 1</w:t>
            </w:r>
            <w:r w:rsidRPr="00FE2B79">
              <w:rPr>
                <w:rFonts w:ascii="Garamond" w:hAnsi="Garamond"/>
                <w:b/>
                <w:sz w:val="24"/>
                <w:szCs w:val="24"/>
              </w:rPr>
              <w:t xml:space="preserve"> </w:t>
            </w:r>
            <w:r w:rsidRPr="00FE2B79">
              <w:rPr>
                <w:rFonts w:ascii="Garamond" w:hAnsi="Garamond"/>
                <w:b/>
                <w:color w:val="FF0000"/>
                <w:sz w:val="24"/>
                <w:szCs w:val="24"/>
              </w:rPr>
              <w:t>(</w:t>
            </w:r>
            <w:r w:rsidRPr="00FE2B79">
              <w:rPr>
                <w:rFonts w:ascii="Garamond" w:hAnsi="Garamond"/>
                <w:b/>
                <w:color w:val="FF0000"/>
                <w:sz w:val="24"/>
                <w:szCs w:val="24"/>
              </w:rPr>
              <w:t xml:space="preserve">kötelező, </w:t>
            </w:r>
            <w:r w:rsidR="00F271D8" w:rsidRPr="00FE2B79">
              <w:rPr>
                <w:rFonts w:ascii="Garamond" w:hAnsi="Garamond"/>
                <w:b/>
                <w:color w:val="FF0000"/>
                <w:sz w:val="24"/>
                <w:szCs w:val="24"/>
              </w:rPr>
              <w:t xml:space="preserve">fő részek összesen </w:t>
            </w:r>
            <w:r w:rsidRPr="00FE2B79">
              <w:rPr>
                <w:rFonts w:ascii="Garamond" w:hAnsi="Garamond"/>
                <w:b/>
                <w:color w:val="FF0000"/>
                <w:sz w:val="24"/>
                <w:szCs w:val="24"/>
              </w:rPr>
              <w:t xml:space="preserve">minimum 8000, </w:t>
            </w:r>
            <w:r w:rsidRPr="00FE2B79">
              <w:rPr>
                <w:rFonts w:ascii="Garamond" w:hAnsi="Garamond"/>
                <w:b/>
                <w:color w:val="FF0000"/>
                <w:sz w:val="24"/>
                <w:szCs w:val="24"/>
              </w:rPr>
              <w:t xml:space="preserve">maximum </w:t>
            </w:r>
            <w:r w:rsidRPr="00FE2B79">
              <w:rPr>
                <w:rFonts w:ascii="Garamond" w:hAnsi="Garamond"/>
                <w:b/>
                <w:color w:val="FF0000"/>
                <w:sz w:val="24"/>
                <w:szCs w:val="24"/>
              </w:rPr>
              <w:t>12000</w:t>
            </w:r>
            <w:r w:rsidRPr="00FE2B79">
              <w:rPr>
                <w:rFonts w:ascii="Garamond" w:hAnsi="Garamond"/>
                <w:b/>
                <w:color w:val="FF0000"/>
                <w:sz w:val="24"/>
                <w:szCs w:val="24"/>
              </w:rPr>
              <w:t xml:space="preserve"> karakter terjedelem)</w:t>
            </w:r>
          </w:p>
          <w:p w14:paraId="7EA0263A" w14:textId="386BD68A" w:rsidR="0081220D" w:rsidRPr="00FE2B79" w:rsidRDefault="0081220D" w:rsidP="0081220D">
            <w:pPr>
              <w:spacing w:before="120"/>
              <w:jc w:val="both"/>
              <w:rPr>
                <w:rFonts w:ascii="Garamond" w:hAnsi="Garamond"/>
                <w:sz w:val="24"/>
                <w:szCs w:val="24"/>
              </w:rPr>
            </w:pPr>
            <w:r w:rsidRPr="00FE2B79">
              <w:rPr>
                <w:rFonts w:ascii="Garamond" w:hAnsi="Garamond"/>
                <w:sz w:val="24"/>
                <w:szCs w:val="24"/>
              </w:rPr>
              <w:t xml:space="preserve">2001. március 11-én megkezdődött előbb a térség keleti régiójában, majd az árvíz vonulásával párhuzamosan a többi településen is a fertőtlenítés, az omlásveszélyes épületekből a megmaradt ingóságok kimentése, biztonságos tárolásuk megoldása, az elhullott állatok összegyűjtése és elszállítása. A fertőzésveszély elhárítása után megkezdődött a közmű szolgáltatás visszaállítása, az összeomlott-, életveszélyes épületek elbontása, a lakosság visszatelepítése. </w:t>
            </w:r>
          </w:p>
          <w:p w14:paraId="5C44756F" w14:textId="64553F38" w:rsidR="0081220D" w:rsidRPr="00FE2B79" w:rsidRDefault="0081220D" w:rsidP="0081220D">
            <w:pPr>
              <w:spacing w:before="120"/>
              <w:jc w:val="both"/>
              <w:rPr>
                <w:rFonts w:ascii="Garamond" w:hAnsi="Garamond"/>
                <w:sz w:val="24"/>
                <w:szCs w:val="24"/>
              </w:rPr>
            </w:pPr>
            <w:r w:rsidRPr="00FE2B79">
              <w:rPr>
                <w:rFonts w:ascii="Garamond" w:hAnsi="Garamond"/>
                <w:sz w:val="24"/>
                <w:szCs w:val="24"/>
              </w:rPr>
              <w:t>A Helyreállítási és Újjáépítési Tárcaközi Bizottság</w:t>
            </w:r>
            <w:r w:rsidR="00A167FA" w:rsidRPr="00FE2B79">
              <w:rPr>
                <w:rFonts w:ascii="Garamond" w:hAnsi="Garamond"/>
                <w:sz w:val="24"/>
                <w:szCs w:val="24"/>
              </w:rPr>
              <w:t xml:space="preserve"> (HÚTB)</w:t>
            </w:r>
            <w:r w:rsidRPr="00FE2B79">
              <w:rPr>
                <w:rFonts w:ascii="Garamond" w:hAnsi="Garamond"/>
                <w:sz w:val="24"/>
                <w:szCs w:val="24"/>
              </w:rPr>
              <w:t xml:space="preserve"> működésével kapcsolatos feladatok végrehajtása munkabizottságok létrehozásával valósult meg. Kialakításra került a Veszélyhelyzeti Központ, az Újjáépítési Koordinációs Munkabizottság, a Felügyeleti Munkabizottság,</w:t>
            </w:r>
            <w:r w:rsidR="00A167FA" w:rsidRPr="00FE2B79">
              <w:rPr>
                <w:rFonts w:ascii="Garamond" w:hAnsi="Garamond"/>
                <w:sz w:val="24"/>
                <w:szCs w:val="24"/>
              </w:rPr>
              <w:t xml:space="preserve"> a Pénzügyi Munkabizottság</w:t>
            </w:r>
            <w:r w:rsidRPr="00FE2B79">
              <w:rPr>
                <w:rFonts w:ascii="Garamond" w:hAnsi="Garamond"/>
                <w:sz w:val="24"/>
                <w:szCs w:val="24"/>
              </w:rPr>
              <w:t>, a Lakosság Elhelyezési Munkabizottság, valamint az Egyházi és Műemléki Bizottság. A kiadott intézkedés általánosságban, részleteiben, munkabizottságonként tartalmazta a végrehajtandó feladatokat, a munkabizottságok tagjait</w:t>
            </w:r>
            <w:r w:rsidR="00554E63">
              <w:rPr>
                <w:rFonts w:ascii="Garamond" w:hAnsi="Garamond"/>
                <w:sz w:val="24"/>
                <w:szCs w:val="24"/>
              </w:rPr>
              <w:t xml:space="preserve"> </w:t>
            </w:r>
            <w:r w:rsidR="00554E63" w:rsidRPr="00FE2B79">
              <w:rPr>
                <w:rFonts w:ascii="Garamond" w:hAnsi="Garamond"/>
                <w:sz w:val="24"/>
                <w:szCs w:val="24"/>
              </w:rPr>
              <w:t>[1]</w:t>
            </w:r>
            <w:r w:rsidRPr="00FE2B79">
              <w:rPr>
                <w:rFonts w:ascii="Garamond" w:hAnsi="Garamond"/>
                <w:sz w:val="24"/>
                <w:szCs w:val="24"/>
              </w:rPr>
              <w:t>. A végrehajtandó feladataik közül koncentráltan a HÚTB működéséhez szükséges döntéselőkészítési-, végrehajtási, valamint a felügyeleti-, ellenőrzési tevékenység elveit rögzítette. A helyreállítás és újjáépítés megszervezésében és végrehajtásában elsőbbséget kapott a fedél nélkül maradtak otthonhoz juttatása, a károsult lakóépületek helyreállítása.</w:t>
            </w:r>
          </w:p>
          <w:p w14:paraId="4A36365F" w14:textId="0C684B80" w:rsidR="00F271D8" w:rsidRPr="00FE2B79" w:rsidRDefault="00F271D8" w:rsidP="00F271D8">
            <w:pPr>
              <w:spacing w:before="240" w:after="240"/>
              <w:jc w:val="center"/>
              <w:rPr>
                <w:rFonts w:ascii="Garamond" w:hAnsi="Garamond"/>
                <w:b/>
                <w:sz w:val="24"/>
                <w:szCs w:val="24"/>
              </w:rPr>
            </w:pPr>
            <w:r w:rsidRPr="00FE2B79">
              <w:rPr>
                <w:rFonts w:ascii="Garamond" w:hAnsi="Garamond"/>
                <w:b/>
                <w:sz w:val="24"/>
                <w:szCs w:val="24"/>
              </w:rPr>
              <w:t>Fő rész 2</w:t>
            </w:r>
          </w:p>
          <w:p w14:paraId="2F149036" w14:textId="1CD0B15B" w:rsidR="0081220D" w:rsidRPr="00FE2B79" w:rsidRDefault="0081220D" w:rsidP="0081220D">
            <w:pPr>
              <w:spacing w:before="120"/>
              <w:jc w:val="both"/>
              <w:rPr>
                <w:rFonts w:ascii="Garamond" w:hAnsi="Garamond"/>
                <w:sz w:val="24"/>
                <w:szCs w:val="24"/>
              </w:rPr>
            </w:pPr>
            <w:r w:rsidRPr="00FE2B79">
              <w:rPr>
                <w:rFonts w:ascii="Garamond" w:hAnsi="Garamond"/>
                <w:sz w:val="24"/>
                <w:szCs w:val="24"/>
              </w:rPr>
              <w:t xml:space="preserve">Az 1033/2001. (IV.12.) Korm. határozat alapján a helyreállítás és újjáépítés alapvetően építési szolgáltatás formájában történő természetbeni térítéssel történt. Ennek megfelelően egy kellő kapacitással és tőkeerővel rendelkező konzorcium – Közkereseti Társaság jött létre, három Szabolcs-Szatmár-Bereg megyei és három országos illetékességű vállalkozás bevonásával. A Közkereseti Társaság létrehozását követően a kivitelező és a HÚTB elnöke, mint megrendelő között a fővállalkozási szerződés 2001. április 17-én került megkötésre. Az alvállalkozók száma mintegy 240 volt; csúcsidőszakban közel 10 ezren dolgoztak az építkezéseken. </w:t>
            </w:r>
          </w:p>
          <w:p w14:paraId="1E26AE88" w14:textId="6D61915D" w:rsidR="0081220D" w:rsidRDefault="0081220D" w:rsidP="0081220D">
            <w:pPr>
              <w:spacing w:before="120"/>
              <w:jc w:val="both"/>
              <w:rPr>
                <w:rFonts w:ascii="Garamond" w:hAnsi="Garamond"/>
                <w:sz w:val="24"/>
                <w:szCs w:val="24"/>
              </w:rPr>
            </w:pPr>
            <w:r w:rsidRPr="00FE2B79">
              <w:rPr>
                <w:rFonts w:ascii="Garamond" w:hAnsi="Garamond"/>
                <w:sz w:val="24"/>
                <w:szCs w:val="24"/>
              </w:rPr>
              <w:t xml:space="preserve">A táj építészeti hagyományaihoz igazodó új épületek ajánlati tervpályázatára beérkezett 170 pályaműből április 5-én a bíráló bizottság 17 tervet fogadott el. A tervek adaptálása 3-4 napos határidővel történt, míg az építési tervek engedélyezése </w:t>
            </w:r>
            <w:r w:rsidR="007B217A" w:rsidRPr="00FE2B79">
              <w:rPr>
                <w:rFonts w:ascii="Garamond" w:hAnsi="Garamond"/>
                <w:sz w:val="24"/>
                <w:szCs w:val="24"/>
              </w:rPr>
              <w:t>szintén</w:t>
            </w:r>
            <w:r w:rsidRPr="00FE2B79">
              <w:rPr>
                <w:rFonts w:ascii="Garamond" w:hAnsi="Garamond"/>
                <w:sz w:val="24"/>
                <w:szCs w:val="24"/>
              </w:rPr>
              <w:t xml:space="preserve"> 3-4 napot vett igénybe. Hátráltatták azonban az engedélyek kiadását a rendezetlen tulajdoni viszonyok; a lakcím bejelentkezések elmulasztása, a tulajdonostársak eltérő nyilatkozatai, az örökösödési eljárások. A tervezés során rendező elv volt a beregi településekre jellemző építészeti motívumok megjelenése (tornác, homlokzati díszek), illetve az elsősorban mezőgazdaságra berendezkedett, falusi életvitelre alkalmas helyiségek kialakítása.</w:t>
            </w:r>
            <w:r w:rsidR="00554E63">
              <w:rPr>
                <w:rFonts w:ascii="Garamond" w:hAnsi="Garamond"/>
                <w:sz w:val="24"/>
                <w:szCs w:val="24"/>
              </w:rPr>
              <w:t xml:space="preserve"> </w:t>
            </w:r>
            <w:r w:rsidR="00554E63" w:rsidRPr="00FE2B79">
              <w:rPr>
                <w:rFonts w:ascii="Garamond" w:hAnsi="Garamond"/>
                <w:sz w:val="24"/>
                <w:szCs w:val="24"/>
              </w:rPr>
              <w:t>[</w:t>
            </w:r>
            <w:r w:rsidR="00554E63">
              <w:rPr>
                <w:rFonts w:ascii="Garamond" w:hAnsi="Garamond"/>
                <w:sz w:val="24"/>
                <w:szCs w:val="24"/>
              </w:rPr>
              <w:t>2, pp. 2-4.</w:t>
            </w:r>
            <w:r w:rsidR="00554E63" w:rsidRPr="00FE2B79">
              <w:rPr>
                <w:rFonts w:ascii="Garamond" w:hAnsi="Garamond"/>
                <w:sz w:val="24"/>
                <w:szCs w:val="24"/>
              </w:rPr>
              <w:t xml:space="preserve">] </w:t>
            </w:r>
            <w:r w:rsidRPr="00FE2B79">
              <w:rPr>
                <w:rFonts w:ascii="Garamond" w:hAnsi="Garamond"/>
                <w:sz w:val="24"/>
                <w:szCs w:val="24"/>
              </w:rPr>
              <w:t xml:space="preserve"> </w:t>
            </w:r>
          </w:p>
          <w:p w14:paraId="5E93CAB9" w14:textId="77777777" w:rsidR="00A6416F" w:rsidRPr="00FE2B79" w:rsidRDefault="00A6416F" w:rsidP="00A6416F">
            <w:pPr>
              <w:spacing w:before="240" w:after="240"/>
              <w:jc w:val="both"/>
              <w:rPr>
                <w:rFonts w:ascii="Garamond" w:hAnsi="Garamond"/>
                <w:b/>
                <w:i/>
                <w:sz w:val="24"/>
                <w:szCs w:val="24"/>
              </w:rPr>
            </w:pPr>
            <w:r w:rsidRPr="00FE2B79">
              <w:rPr>
                <w:rFonts w:ascii="Garamond" w:hAnsi="Garamond"/>
                <w:b/>
                <w:i/>
                <w:sz w:val="24"/>
                <w:szCs w:val="24"/>
              </w:rPr>
              <w:t xml:space="preserve">Alcím a fő részen belül </w:t>
            </w:r>
            <w:r w:rsidRPr="00FE2B79">
              <w:rPr>
                <w:rFonts w:ascii="Garamond" w:hAnsi="Garamond"/>
                <w:b/>
                <w:color w:val="FF0000"/>
                <w:sz w:val="24"/>
                <w:szCs w:val="24"/>
              </w:rPr>
              <w:t>(önálló sorban kezdve, balra rendezve, félkövér, dőlt, maximum 3/fő rész, nem kötelező)</w:t>
            </w:r>
          </w:p>
          <w:p w14:paraId="084C13A2" w14:textId="77777777" w:rsidR="00A6416F" w:rsidRPr="00FE2B79" w:rsidRDefault="00A6416F" w:rsidP="00A6416F">
            <w:pPr>
              <w:spacing w:before="120"/>
              <w:jc w:val="both"/>
              <w:rPr>
                <w:rFonts w:ascii="Garamond" w:hAnsi="Garamond"/>
                <w:sz w:val="24"/>
                <w:szCs w:val="24"/>
              </w:rPr>
            </w:pPr>
            <w:r w:rsidRPr="00FE2B79">
              <w:rPr>
                <w:rFonts w:ascii="Garamond" w:hAnsi="Garamond"/>
                <w:sz w:val="24"/>
                <w:szCs w:val="24"/>
              </w:rPr>
              <w:t xml:space="preserve">Az 1033/2001. (IV.12.) Korm. határozat alapján a helyreállítás és újjáépítés alapvetően építési szolgáltatás formájában történő természetbeni térítéssel történt. Ennek megfelelően egy kellő kapacitással és tőkeerővel rendelkező konzorcium – Közkereseti Társaság jött létre, három Szabolcs-Szatmár-Bereg megyei és három országos illetékességű vállalkozás bevonásával. A Közkereseti Társaság létrehozását követően a kivitelező és a HÚTB elnöke, mint megrendelő között a fővállalkozási szerződés 2001. április 17-én került megkötésre. Az alvállalkozók száma mintegy 240 volt; csúcsidőszakban közel 10 ezren dolgoztak az építkezéseken. </w:t>
            </w:r>
          </w:p>
          <w:p w14:paraId="7B7E8AFD" w14:textId="77777777" w:rsidR="00A6416F" w:rsidRDefault="00A6416F" w:rsidP="00A6416F">
            <w:pPr>
              <w:spacing w:before="120"/>
              <w:jc w:val="both"/>
              <w:rPr>
                <w:rFonts w:ascii="Garamond" w:hAnsi="Garamond"/>
                <w:sz w:val="24"/>
                <w:szCs w:val="24"/>
              </w:rPr>
            </w:pPr>
            <w:r w:rsidRPr="00FE2B79">
              <w:rPr>
                <w:rFonts w:ascii="Garamond" w:hAnsi="Garamond"/>
                <w:sz w:val="24"/>
                <w:szCs w:val="24"/>
              </w:rPr>
              <w:t xml:space="preserve">A táj építészeti hagyományaihoz igazodó új épületek ajánlati tervpályázatára beérkezett 170 pályaműből április 5-én a bíráló bizottság 17 tervet fogadott el. A tervek adaptálása 3-4 napos határidővel történt, míg az építési tervek engedélyezése szintén 3-4 napot vett igénybe. </w:t>
            </w:r>
            <w:r w:rsidRPr="00FE2B79">
              <w:rPr>
                <w:rFonts w:ascii="Garamond" w:hAnsi="Garamond"/>
                <w:sz w:val="24"/>
                <w:szCs w:val="24"/>
              </w:rPr>
              <w:lastRenderedPageBreak/>
              <w:t xml:space="preserve">Hátráltatták azonban az engedélyek kiadását a rendezetlen tulajdoni viszonyok; a lakcím bejelentkezések elmulasztása, a tulajdonostársak eltérő nyilatkozatai, az örökösödési eljárások. </w:t>
            </w:r>
          </w:p>
          <w:p w14:paraId="6999D590" w14:textId="4DA2D97E" w:rsidR="00A6416F" w:rsidRPr="00FE2B79" w:rsidRDefault="00A6416F" w:rsidP="00A6416F">
            <w:pPr>
              <w:spacing w:before="120"/>
              <w:jc w:val="both"/>
              <w:rPr>
                <w:rFonts w:ascii="Garamond" w:hAnsi="Garamond"/>
                <w:sz w:val="24"/>
                <w:szCs w:val="24"/>
              </w:rPr>
            </w:pPr>
            <w:r w:rsidRPr="00FE2B79">
              <w:rPr>
                <w:rFonts w:ascii="Garamond" w:hAnsi="Garamond"/>
                <w:sz w:val="24"/>
                <w:szCs w:val="24"/>
              </w:rPr>
              <w:t>A tervezés során rendező elv volt a beregi településekre jellemző építészeti motívumok megjelenése (tornác, homlokzati díszek), illetve az elsősorban mezőgazdaságra berendezkedett, falusi életvitelre alkalmas helyiségek kialakítása.</w:t>
            </w:r>
            <w:r>
              <w:rPr>
                <w:rFonts w:ascii="Garamond" w:hAnsi="Garamond"/>
                <w:sz w:val="24"/>
                <w:szCs w:val="24"/>
              </w:rPr>
              <w:t xml:space="preserve"> </w:t>
            </w:r>
            <w:r w:rsidRPr="00FE2B79">
              <w:rPr>
                <w:rFonts w:ascii="Garamond" w:hAnsi="Garamond"/>
                <w:sz w:val="24"/>
                <w:szCs w:val="24"/>
              </w:rPr>
              <w:t>[</w:t>
            </w:r>
            <w:r>
              <w:rPr>
                <w:rFonts w:ascii="Garamond" w:hAnsi="Garamond"/>
                <w:sz w:val="24"/>
                <w:szCs w:val="24"/>
              </w:rPr>
              <w:t>2, pp. 2-4.</w:t>
            </w:r>
            <w:r w:rsidRPr="00FE2B79">
              <w:rPr>
                <w:rFonts w:ascii="Garamond" w:hAnsi="Garamond"/>
                <w:sz w:val="24"/>
                <w:szCs w:val="24"/>
              </w:rPr>
              <w:t xml:space="preserve">]  </w:t>
            </w:r>
          </w:p>
          <w:p w14:paraId="5318E167" w14:textId="1C13C897" w:rsidR="0081220D" w:rsidRPr="00FE2B79" w:rsidRDefault="0081220D" w:rsidP="0081220D">
            <w:pPr>
              <w:spacing w:before="120"/>
              <w:jc w:val="both"/>
              <w:rPr>
                <w:rFonts w:ascii="Garamond" w:hAnsi="Garamond"/>
                <w:sz w:val="24"/>
                <w:szCs w:val="24"/>
              </w:rPr>
            </w:pPr>
            <w:r w:rsidRPr="00FE2B79">
              <w:rPr>
                <w:rFonts w:ascii="Garamond" w:hAnsi="Garamond"/>
                <w:sz w:val="24"/>
                <w:szCs w:val="24"/>
              </w:rPr>
              <w:t xml:space="preserve">2001. év májusában elkezdődtek az új lakóépületek kivitelezési munkálatai. A károsodott építmények bontásának szükségességét statikusok igazolták, továbbá statikai szakvélemények készültek lakóépületenként. A tulajdonosok a tervek közül a megsemmisült lakóingatlan hasznos alapterületével közel azonos alapterületű tervtípus kiválasztásával, személyi adatainak közlésével fejezték ki újjáépítésre vonatkozó szándékukat. A kiválasztott tervtípust a megbízott építészek a helyszínre adaptálták. Az elkészült „Építési engedélyezési tervdokumentáció” és a szükséges közmű-hozzájárulások után a területileg illetékes I. fokú Építésügyi Hatóság építési engedélyt adott ki a jelzett határidőn belül. A kivitelezési munkálatok folyamán a Károsult és Megrendelő érdekeit a jelen lévő műszaki ellenőrök képviselték. Építési napló vezetésével és folyamatos helyszínbejárással látták el feladataikat. Számlázás, szükséges pótmunka elrendelése csak </w:t>
            </w:r>
            <w:r w:rsidR="00A167FA" w:rsidRPr="00FE2B79">
              <w:rPr>
                <w:rFonts w:ascii="Garamond" w:hAnsi="Garamond"/>
                <w:sz w:val="24"/>
                <w:szCs w:val="24"/>
              </w:rPr>
              <w:t>a</w:t>
            </w:r>
            <w:r w:rsidRPr="00FE2B79">
              <w:rPr>
                <w:rFonts w:ascii="Garamond" w:hAnsi="Garamond"/>
                <w:sz w:val="24"/>
                <w:szCs w:val="24"/>
              </w:rPr>
              <w:t xml:space="preserve"> hozzájárulásukkal, engedélyükkel történhetett. A kivitelező </w:t>
            </w:r>
            <w:r w:rsidR="00A167FA" w:rsidRPr="00FE2B79">
              <w:rPr>
                <w:rFonts w:ascii="Garamond" w:hAnsi="Garamond"/>
                <w:sz w:val="24"/>
                <w:szCs w:val="24"/>
              </w:rPr>
              <w:t>készre-jelentése</w:t>
            </w:r>
            <w:r w:rsidRPr="00FE2B79">
              <w:rPr>
                <w:rFonts w:ascii="Garamond" w:hAnsi="Garamond"/>
                <w:sz w:val="24"/>
                <w:szCs w:val="24"/>
              </w:rPr>
              <w:t xml:space="preserve"> után került sor a műszaki átadás–átvételi eljárás lefolytatására az érintettek részvételével. A használatbavételi engedélyezési tervdokumentáció, a Károsult egyetértő aláírása után került az I. fokú Építésügyi Hatóságra, melyek alapján Használatbavételi Engedély kiadására került sor.</w:t>
            </w:r>
            <w:r w:rsidR="00554E63" w:rsidRPr="00FE2B79">
              <w:rPr>
                <w:rFonts w:ascii="Garamond" w:hAnsi="Garamond"/>
                <w:sz w:val="24"/>
                <w:szCs w:val="24"/>
              </w:rPr>
              <w:t xml:space="preserve"> </w:t>
            </w:r>
            <w:r w:rsidR="00554E63" w:rsidRPr="00FE2B79">
              <w:rPr>
                <w:rFonts w:ascii="Garamond" w:hAnsi="Garamond"/>
                <w:sz w:val="24"/>
                <w:szCs w:val="24"/>
              </w:rPr>
              <w:t>[</w:t>
            </w:r>
            <w:r w:rsidR="00554E63">
              <w:rPr>
                <w:rFonts w:ascii="Garamond" w:hAnsi="Garamond"/>
                <w:sz w:val="24"/>
                <w:szCs w:val="24"/>
              </w:rPr>
              <w:t>3, 1. ábra</w:t>
            </w:r>
            <w:r w:rsidR="00554E63" w:rsidRPr="00FE2B79">
              <w:rPr>
                <w:rFonts w:ascii="Garamond" w:hAnsi="Garamond"/>
                <w:sz w:val="24"/>
                <w:szCs w:val="24"/>
              </w:rPr>
              <w:t>]</w:t>
            </w:r>
          </w:p>
          <w:p w14:paraId="299B4F53" w14:textId="462F7DF5" w:rsidR="0081220D" w:rsidRPr="00FE2B79" w:rsidRDefault="0081220D" w:rsidP="0081220D">
            <w:pPr>
              <w:spacing w:before="120"/>
              <w:jc w:val="both"/>
              <w:rPr>
                <w:rFonts w:ascii="Garamond" w:hAnsi="Garamond"/>
                <w:sz w:val="24"/>
                <w:szCs w:val="24"/>
              </w:rPr>
            </w:pPr>
            <w:r w:rsidRPr="00FE2B79">
              <w:rPr>
                <w:rFonts w:ascii="Garamond" w:hAnsi="Garamond"/>
                <w:sz w:val="24"/>
                <w:szCs w:val="24"/>
              </w:rPr>
              <w:t>A helyreállíthatónak ítélt lakott lakóingatlanok tulajdonosainak kártalanítása az 1033/2001. (IV. 12.) Korm. határozatban foglaltaknak megfelelően újjáépítési, építési szolgáltatás formájában történt meg. A helyreállítandó munkálatok tételes kimutatását lakóépületenként a Kivitelező készítette el. A felsorolt szükséges munkálatokat, azok jogosságát a műszaki ellenőr és az újjáépítési biztos ellenőrizte. Annak tényét és megfelelő kivitelezését aláírásával igazolta. A „Helyreállítási Megállapodást”, azaz a tételes műszaki adatlapot, a hatósági Kárfelmérő lapot a tulajdoni lap másolat alapján a Szabolcs–Szatmár–Bereg megyei Közigazgatási Hivatal jegyezte ellen. Ellenjegyzés előtt a megállapodást alakhelyes kitöltése után a károsult, a műszaki ellenőr, az újjáépítési biztos és a kivitelező egyetértőleg aláírta. Az ellenjegyzett megállapodás alapján kezdte a kivitelező a helyreállítási munkálatokat.</w:t>
            </w:r>
            <w:r w:rsidR="00554E63" w:rsidRPr="00FE2B79">
              <w:rPr>
                <w:rFonts w:ascii="Garamond" w:hAnsi="Garamond"/>
                <w:sz w:val="24"/>
                <w:szCs w:val="24"/>
              </w:rPr>
              <w:t xml:space="preserve"> </w:t>
            </w:r>
            <w:r w:rsidR="00554E63" w:rsidRPr="00FE2B79">
              <w:rPr>
                <w:rFonts w:ascii="Garamond" w:hAnsi="Garamond"/>
                <w:sz w:val="24"/>
                <w:szCs w:val="24"/>
              </w:rPr>
              <w:t>[</w:t>
            </w:r>
            <w:r w:rsidR="00554E63">
              <w:rPr>
                <w:rFonts w:ascii="Garamond" w:hAnsi="Garamond"/>
                <w:sz w:val="24"/>
                <w:szCs w:val="24"/>
              </w:rPr>
              <w:t>4, p. 7.</w:t>
            </w:r>
            <w:r w:rsidR="00554E63" w:rsidRPr="00FE2B79">
              <w:rPr>
                <w:rFonts w:ascii="Garamond" w:hAnsi="Garamond"/>
                <w:sz w:val="24"/>
                <w:szCs w:val="24"/>
              </w:rPr>
              <w:t>]</w:t>
            </w:r>
          </w:p>
          <w:p w14:paraId="7189FCA5" w14:textId="5BC89510" w:rsidR="00F271D8" w:rsidRPr="00FE2B79" w:rsidRDefault="00F271D8" w:rsidP="00F271D8">
            <w:pPr>
              <w:spacing w:before="240" w:after="240"/>
              <w:jc w:val="center"/>
              <w:rPr>
                <w:rFonts w:ascii="Garamond" w:hAnsi="Garamond"/>
                <w:b/>
                <w:sz w:val="24"/>
                <w:szCs w:val="24"/>
              </w:rPr>
            </w:pPr>
            <w:r w:rsidRPr="00FE2B79">
              <w:rPr>
                <w:rFonts w:ascii="Garamond" w:hAnsi="Garamond"/>
                <w:b/>
                <w:sz w:val="24"/>
                <w:szCs w:val="24"/>
              </w:rPr>
              <w:t xml:space="preserve">Összefoglalás és következtetés </w:t>
            </w:r>
            <w:r w:rsidRPr="00FE2B79">
              <w:rPr>
                <w:rFonts w:ascii="Garamond" w:hAnsi="Garamond"/>
                <w:b/>
                <w:color w:val="FF0000"/>
                <w:sz w:val="24"/>
                <w:szCs w:val="24"/>
              </w:rPr>
              <w:t>(kötelező, minimum 500, maximum 1000 karakter terjedelem)</w:t>
            </w:r>
          </w:p>
          <w:p w14:paraId="24728A05" w14:textId="77777777" w:rsidR="003F058B" w:rsidRPr="00FE2B79" w:rsidRDefault="0081220D" w:rsidP="004B75BA">
            <w:pPr>
              <w:spacing w:before="120"/>
              <w:jc w:val="both"/>
              <w:rPr>
                <w:rFonts w:ascii="Garamond" w:hAnsi="Garamond"/>
                <w:bCs/>
                <w:iCs/>
                <w:sz w:val="24"/>
                <w:szCs w:val="24"/>
              </w:rPr>
            </w:pPr>
            <w:r w:rsidRPr="00FE2B79">
              <w:rPr>
                <w:rFonts w:ascii="Garamond" w:hAnsi="Garamond"/>
                <w:sz w:val="24"/>
                <w:szCs w:val="24"/>
              </w:rPr>
              <w:t>A 2001. évi beregi árvizet követően az érintett térségben keletkezett károk helyreállítása és újjáépítése, a helyreállítási és újjáépítési folyamatok eredménye során normalizálódott. A lakhatás alapvető feltételei megvalósultak, az intézmények folytatni tudták tevékenységüket. Az újjáépült Bereg, a helyi építészeti hagyományok megőrzésével, a kor igényeinek megfelelő színvonalon tudott az ott élők számára otthont teremteni. A károk felszámolása során prioritást élvez</w:t>
            </w:r>
            <w:r w:rsidR="004B75BA" w:rsidRPr="00FE2B79">
              <w:rPr>
                <w:rFonts w:ascii="Garamond" w:hAnsi="Garamond"/>
                <w:sz w:val="24"/>
                <w:szCs w:val="24"/>
              </w:rPr>
              <w:t>ett</w:t>
            </w:r>
            <w:r w:rsidRPr="00FE2B79">
              <w:rPr>
                <w:rFonts w:ascii="Garamond" w:hAnsi="Garamond"/>
                <w:sz w:val="24"/>
                <w:szCs w:val="24"/>
              </w:rPr>
              <w:t xml:space="preserve"> a lakhatást biztosító személyi tulajdonú lakóingatlanok újjáépítése, helyreállítása. </w:t>
            </w:r>
            <w:r w:rsidRPr="00FE2B79">
              <w:rPr>
                <w:rFonts w:ascii="Garamond" w:hAnsi="Garamond"/>
                <w:bCs/>
                <w:iCs/>
                <w:sz w:val="24"/>
                <w:szCs w:val="24"/>
              </w:rPr>
              <w:t xml:space="preserve">2001. szeptemberéig helyreállításra kerültek az önkormányzati tulajdonban lévő kötelező oktatási célokat szolgáló intézmények, iskolák, óvodák, az oktatás zavartalan biztosítása érdekében. </w:t>
            </w:r>
          </w:p>
          <w:p w14:paraId="12FF82DC" w14:textId="77777777" w:rsidR="00F271D8" w:rsidRPr="00FE2B79" w:rsidRDefault="00F271D8" w:rsidP="004B75BA">
            <w:pPr>
              <w:spacing w:before="120"/>
              <w:jc w:val="both"/>
              <w:rPr>
                <w:rFonts w:ascii="Garamond" w:hAnsi="Garamond"/>
                <w:bCs/>
                <w:iCs/>
                <w:sz w:val="24"/>
                <w:szCs w:val="24"/>
              </w:rPr>
            </w:pPr>
          </w:p>
          <w:p w14:paraId="4E78628B" w14:textId="40C8DCCE" w:rsidR="00F271D8" w:rsidRPr="00FE2B79" w:rsidRDefault="00F271D8" w:rsidP="000D4B71">
            <w:pPr>
              <w:spacing w:before="120"/>
              <w:jc w:val="center"/>
              <w:rPr>
                <w:rFonts w:ascii="Garamond" w:hAnsi="Garamond"/>
                <w:bCs/>
                <w:iCs/>
                <w:sz w:val="24"/>
                <w:szCs w:val="24"/>
              </w:rPr>
            </w:pPr>
            <w:r w:rsidRPr="00FE2B79">
              <w:rPr>
                <w:rFonts w:ascii="Garamond" w:hAnsi="Garamond"/>
                <w:b/>
                <w:sz w:val="24"/>
                <w:szCs w:val="24"/>
              </w:rPr>
              <w:t>Irodalomjegyzék</w:t>
            </w:r>
            <w:r w:rsidRPr="00FE2B79">
              <w:rPr>
                <w:rFonts w:ascii="Garamond" w:hAnsi="Garamond"/>
                <w:b/>
                <w:sz w:val="24"/>
                <w:szCs w:val="24"/>
              </w:rPr>
              <w:t xml:space="preserve"> </w:t>
            </w:r>
            <w:r w:rsidRPr="00FE2B79">
              <w:rPr>
                <w:rFonts w:ascii="Garamond" w:hAnsi="Garamond"/>
                <w:b/>
                <w:color w:val="FF0000"/>
                <w:sz w:val="24"/>
                <w:szCs w:val="24"/>
              </w:rPr>
              <w:t>(kötelező,</w:t>
            </w:r>
            <w:r w:rsidR="00F1520B" w:rsidRPr="00FE2B79">
              <w:rPr>
                <w:rFonts w:ascii="Garamond" w:hAnsi="Garamond"/>
                <w:b/>
                <w:color w:val="FF0000"/>
                <w:sz w:val="24"/>
                <w:szCs w:val="24"/>
              </w:rPr>
              <w:t xml:space="preserve"> a Védelem Tudomány hivatkozásjegyzéke szerint)</w:t>
            </w:r>
          </w:p>
          <w:p w14:paraId="66333C96" w14:textId="57F37071" w:rsidR="00FE2B79" w:rsidRPr="00FE2B79" w:rsidRDefault="00FE2B79" w:rsidP="00FE2B79">
            <w:pPr>
              <w:pStyle w:val="NormlWeb"/>
              <w:spacing w:before="240" w:beforeAutospacing="0" w:after="0" w:afterAutospacing="0"/>
              <w:ind w:left="567" w:hanging="567"/>
              <w:rPr>
                <w:rFonts w:ascii="Garamond" w:hAnsi="Garamond"/>
                <w:bCs/>
                <w:szCs w:val="24"/>
              </w:rPr>
            </w:pPr>
            <w:r w:rsidRPr="00FE2B79">
              <w:rPr>
                <w:rFonts w:ascii="Garamond" w:hAnsi="Garamond"/>
                <w:szCs w:val="24"/>
              </w:rPr>
              <w:t xml:space="preserve">[1] </w:t>
            </w:r>
            <w:r w:rsidRPr="00FE2B79">
              <w:rPr>
                <w:rFonts w:ascii="Garamond" w:hAnsi="Garamond"/>
                <w:szCs w:val="24"/>
              </w:rPr>
              <w:tab/>
            </w:r>
            <w:r w:rsidRPr="00A71CE6">
              <w:rPr>
                <w:rFonts w:ascii="Garamond" w:hAnsi="Garamond"/>
                <w:szCs w:val="24"/>
                <w14:ligatures w14:val="standardContextual"/>
              </w:rPr>
              <w:t>Hidvéginé E. E., Ingatlannyilvántartás 2., Sopron: Nyugat-magyarországi Egyetem Geoinformatikai Kar, 2010, pp. 1-32.</w:t>
            </w:r>
          </w:p>
          <w:p w14:paraId="56A82919" w14:textId="77777777" w:rsidR="00FE2B79" w:rsidRPr="00FE2B79" w:rsidRDefault="00FE2B79" w:rsidP="00FE2B79">
            <w:pPr>
              <w:pStyle w:val="Hivatkozottirodalomhadmrnk"/>
              <w:numPr>
                <w:ilvl w:val="0"/>
                <w:numId w:val="0"/>
              </w:numPr>
              <w:ind w:left="426" w:firstLine="141"/>
              <w:rPr>
                <w:rFonts w:ascii="Garamond" w:hAnsi="Garamond" w:cs="Times New Roman"/>
                <w:bCs/>
                <w:szCs w:val="24"/>
              </w:rPr>
            </w:pPr>
          </w:p>
          <w:p w14:paraId="0C3D7F6C" w14:textId="79578C5D" w:rsidR="00FE2B79" w:rsidRPr="00FE2B79" w:rsidRDefault="00FE2B79" w:rsidP="00FE2B79">
            <w:pPr>
              <w:pStyle w:val="NormlWeb"/>
              <w:spacing w:before="0" w:beforeAutospacing="0" w:after="0" w:afterAutospacing="0"/>
              <w:ind w:left="567" w:hanging="567"/>
              <w:rPr>
                <w:rFonts w:ascii="Garamond" w:hAnsi="Garamond"/>
                <w:szCs w:val="24"/>
              </w:rPr>
            </w:pPr>
            <w:r w:rsidRPr="00FE2B79">
              <w:rPr>
                <w:rFonts w:ascii="Garamond" w:hAnsi="Garamond"/>
                <w:szCs w:val="24"/>
              </w:rPr>
              <w:t xml:space="preserve">[2] </w:t>
            </w:r>
            <w:r w:rsidRPr="00FE2B79">
              <w:rPr>
                <w:rFonts w:ascii="Garamond" w:hAnsi="Garamond"/>
                <w:szCs w:val="24"/>
              </w:rPr>
              <w:tab/>
            </w:r>
            <w:r w:rsidRPr="00A71CE6">
              <w:rPr>
                <w:rFonts w:ascii="Garamond" w:hAnsi="Garamond"/>
                <w:szCs w:val="24"/>
                <w14:ligatures w14:val="standardContextual"/>
              </w:rPr>
              <w:t xml:space="preserve">Ambrusz J., „The Hungarian System of Reconstruction and Recovery Tasks Following Natural Disasters,” in </w:t>
            </w:r>
            <w:r w:rsidRPr="00A71CE6">
              <w:rPr>
                <w:rFonts w:ascii="Garamond" w:hAnsi="Garamond"/>
                <w:i/>
                <w:iCs/>
                <w:szCs w:val="24"/>
                <w14:ligatures w14:val="standardContextual"/>
              </w:rPr>
              <w:t>Pozsony: NISPAcee</w:t>
            </w:r>
            <w:r w:rsidRPr="00A71CE6">
              <w:rPr>
                <w:rFonts w:ascii="Garamond" w:hAnsi="Garamond"/>
                <w:szCs w:val="24"/>
                <w14:ligatures w14:val="standardContextual"/>
              </w:rPr>
              <w:t>, Budapest, 2014.</w:t>
            </w:r>
          </w:p>
          <w:p w14:paraId="2E4E15D2" w14:textId="77777777" w:rsidR="00FE2B79" w:rsidRPr="00FE2B79" w:rsidRDefault="00FE2B79" w:rsidP="00FE2B79">
            <w:pPr>
              <w:pStyle w:val="NormlWeb"/>
              <w:spacing w:before="0" w:beforeAutospacing="0" w:after="0" w:afterAutospacing="0"/>
              <w:ind w:left="567" w:hanging="567"/>
              <w:rPr>
                <w:rFonts w:ascii="Garamond" w:hAnsi="Garamond"/>
                <w:bCs/>
                <w:szCs w:val="24"/>
              </w:rPr>
            </w:pPr>
          </w:p>
          <w:p w14:paraId="04A7ECFD" w14:textId="77777777" w:rsidR="00FE2B79" w:rsidRPr="00FE2B79" w:rsidRDefault="00FE2B79" w:rsidP="00FE2B79">
            <w:pPr>
              <w:pStyle w:val="NormlWeb"/>
              <w:spacing w:before="0" w:beforeAutospacing="0" w:after="0" w:afterAutospacing="0"/>
              <w:ind w:left="567" w:hanging="567"/>
              <w:rPr>
                <w:rFonts w:ascii="Garamond" w:hAnsi="Garamond"/>
                <w:szCs w:val="24"/>
              </w:rPr>
            </w:pPr>
            <w:r w:rsidRPr="00FE2B79">
              <w:rPr>
                <w:rFonts w:ascii="Garamond" w:hAnsi="Garamond"/>
                <w:szCs w:val="24"/>
              </w:rPr>
              <w:t xml:space="preserve">[3] </w:t>
            </w:r>
            <w:r w:rsidRPr="00FE2B79">
              <w:rPr>
                <w:rFonts w:ascii="Garamond" w:hAnsi="Garamond"/>
                <w:szCs w:val="24"/>
              </w:rPr>
              <w:tab/>
              <w:t xml:space="preserve">Medical Online. „Vörösiszap”. [Online]. Elérhetőség: </w:t>
            </w:r>
            <w:hyperlink r:id="rId8" w:history="1">
              <w:r w:rsidRPr="00FE2B79">
                <w:rPr>
                  <w:rStyle w:val="Hiperhivatkozs"/>
                  <w:rFonts w:ascii="Garamond" w:eastAsiaTheme="minorHAnsi" w:hAnsi="Garamond" w:cstheme="minorBidi"/>
                  <w:color w:val="2F5496" w:themeColor="accent1" w:themeShade="BF"/>
                  <w:szCs w:val="24"/>
                </w:rPr>
                <w:t>https://medicalonline.hu/tudomany/cikk/vorosiszap</w:t>
              </w:r>
            </w:hyperlink>
            <w:r w:rsidRPr="00FE2B79">
              <w:rPr>
                <w:rStyle w:val="Hiperhivatkozs"/>
                <w:rFonts w:ascii="Garamond" w:eastAsiaTheme="minorHAnsi" w:hAnsi="Garamond" w:cstheme="minorBidi"/>
                <w:color w:val="2F5496" w:themeColor="accent1" w:themeShade="BF"/>
                <w:szCs w:val="24"/>
              </w:rPr>
              <w:t xml:space="preserve"> </w:t>
            </w:r>
            <w:r w:rsidRPr="00FE2B79">
              <w:rPr>
                <w:rFonts w:ascii="Garamond" w:hAnsi="Garamond"/>
                <w:szCs w:val="24"/>
              </w:rPr>
              <w:t>(2024.01.19.)</w:t>
            </w:r>
          </w:p>
          <w:p w14:paraId="393B5544" w14:textId="77777777" w:rsidR="00FE2B79" w:rsidRPr="00FE2B79" w:rsidRDefault="00FE2B79" w:rsidP="00FE2B79">
            <w:pPr>
              <w:pStyle w:val="NormlWeb"/>
              <w:spacing w:before="0" w:beforeAutospacing="0" w:after="0" w:afterAutospacing="0"/>
              <w:ind w:left="567" w:hanging="567"/>
              <w:rPr>
                <w:rFonts w:ascii="Garamond" w:hAnsi="Garamond"/>
                <w:szCs w:val="24"/>
              </w:rPr>
            </w:pPr>
            <w:r w:rsidRPr="00FE2B79">
              <w:rPr>
                <w:rFonts w:ascii="Garamond" w:hAnsi="Garamond"/>
                <w:szCs w:val="24"/>
              </w:rPr>
              <w:t xml:space="preserve"> </w:t>
            </w:r>
          </w:p>
          <w:p w14:paraId="3442E3C0" w14:textId="77777777" w:rsidR="00FE2B79" w:rsidRPr="00FE2B79" w:rsidRDefault="00FE2B79" w:rsidP="00FE2B79">
            <w:pPr>
              <w:pStyle w:val="NormlWeb"/>
              <w:spacing w:before="0" w:beforeAutospacing="0" w:after="0" w:afterAutospacing="0"/>
              <w:ind w:left="567" w:hanging="567"/>
              <w:rPr>
                <w:rFonts w:ascii="Garamond" w:hAnsi="Garamond"/>
                <w:szCs w:val="24"/>
              </w:rPr>
            </w:pPr>
            <w:r w:rsidRPr="00FE2B79">
              <w:rPr>
                <w:rFonts w:ascii="Garamond" w:hAnsi="Garamond"/>
                <w:szCs w:val="24"/>
              </w:rPr>
              <w:t xml:space="preserve">[4] </w:t>
            </w:r>
            <w:r w:rsidRPr="00FE2B79">
              <w:rPr>
                <w:rFonts w:ascii="Garamond" w:hAnsi="Garamond"/>
                <w:szCs w:val="24"/>
              </w:rPr>
              <w:tab/>
              <w:t xml:space="preserve">Muhoray Á. és Ambrusz J. „A vörösiszap-katasztrófa következményeinek felszámolása, a keletkezett károk helyreállítása”, </w:t>
            </w:r>
            <w:r w:rsidRPr="00FE2B79">
              <w:rPr>
                <w:rFonts w:ascii="Garamond" w:hAnsi="Garamond"/>
                <w:i/>
                <w:szCs w:val="24"/>
              </w:rPr>
              <w:t>Bolyai Szemle XXIV.,</w:t>
            </w:r>
            <w:r w:rsidRPr="00FE2B79">
              <w:rPr>
                <w:rFonts w:ascii="Garamond" w:hAnsi="Garamond"/>
                <w:szCs w:val="24"/>
              </w:rPr>
              <w:t xml:space="preserve"> pp. 67-85, 19p. (2015)</w:t>
            </w:r>
          </w:p>
          <w:p w14:paraId="0528129F" w14:textId="77777777" w:rsidR="00FE2B79" w:rsidRPr="00FE2B79" w:rsidRDefault="00FE2B79" w:rsidP="00FE2B79">
            <w:pPr>
              <w:pStyle w:val="NormlWeb"/>
              <w:spacing w:before="0" w:beforeAutospacing="0" w:after="0" w:afterAutospacing="0"/>
              <w:ind w:left="567" w:hanging="567"/>
              <w:rPr>
                <w:rFonts w:ascii="Garamond" w:hAnsi="Garamond"/>
                <w:szCs w:val="24"/>
              </w:rPr>
            </w:pPr>
          </w:p>
          <w:p w14:paraId="497E45EB" w14:textId="6F4BEAB7" w:rsidR="00F271D8" w:rsidRPr="00FE2B79" w:rsidRDefault="00F271D8" w:rsidP="00554E63">
            <w:pPr>
              <w:pStyle w:val="NormlWeb"/>
              <w:spacing w:before="0" w:beforeAutospacing="0" w:after="0" w:afterAutospacing="0"/>
              <w:ind w:left="567" w:hanging="567"/>
              <w:rPr>
                <w:rFonts w:ascii="Garamond" w:hAnsi="Garamond"/>
                <w:szCs w:val="24"/>
              </w:rPr>
            </w:pPr>
          </w:p>
        </w:tc>
      </w:tr>
      <w:tr w:rsidR="004A76D0" w:rsidRPr="00FE512E" w14:paraId="32FB6FD6" w14:textId="77777777" w:rsidTr="002D113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1" w:type="dxa"/>
            <w:tcBorders>
              <w:top w:val="nil"/>
              <w:left w:val="nil"/>
              <w:bottom w:val="nil"/>
              <w:right w:val="nil"/>
            </w:tcBorders>
          </w:tcPr>
          <w:p w14:paraId="0950DED3" w14:textId="633F4C40" w:rsidR="00A167FA" w:rsidRPr="000066D6" w:rsidRDefault="00A167FA" w:rsidP="00F271D8">
            <w:pPr>
              <w:spacing w:before="120" w:after="120"/>
              <w:rPr>
                <w:rFonts w:ascii="Garamond" w:hAnsi="Garamond"/>
                <w:sz w:val="20"/>
                <w:szCs w:val="20"/>
              </w:rPr>
            </w:pPr>
          </w:p>
        </w:tc>
        <w:tc>
          <w:tcPr>
            <w:tcW w:w="4531" w:type="dxa"/>
            <w:tcBorders>
              <w:top w:val="nil"/>
              <w:left w:val="nil"/>
              <w:bottom w:val="nil"/>
              <w:right w:val="nil"/>
            </w:tcBorders>
          </w:tcPr>
          <w:p w14:paraId="7E80EC70" w14:textId="2FD7316E" w:rsidR="004A76D0" w:rsidRPr="00234F17" w:rsidRDefault="004A76D0" w:rsidP="00F271D8">
            <w:pPr>
              <w:spacing w:before="120" w:after="120"/>
              <w:rPr>
                <w:rFonts w:ascii="Garamond" w:hAnsi="Garamond"/>
                <w:sz w:val="20"/>
                <w:szCs w:val="20"/>
                <w:lang w:val="en-GB"/>
              </w:rPr>
            </w:pPr>
          </w:p>
        </w:tc>
      </w:tr>
    </w:tbl>
    <w:p w14:paraId="19F17816" w14:textId="21711998" w:rsidR="00E67E4A" w:rsidRDefault="00E67E4A" w:rsidP="00B73EAD">
      <w:pPr>
        <w:rPr>
          <w:rFonts w:ascii="Garamond" w:hAnsi="Garamond"/>
          <w:b/>
          <w:bCs/>
        </w:rPr>
      </w:pPr>
    </w:p>
    <w:sectPr w:rsidR="00E67E4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50DA25" w14:textId="77777777" w:rsidR="007D776F" w:rsidRDefault="007D776F" w:rsidP="00632046">
      <w:pPr>
        <w:spacing w:after="0" w:line="240" w:lineRule="auto"/>
      </w:pPr>
      <w:r>
        <w:separator/>
      </w:r>
    </w:p>
  </w:endnote>
  <w:endnote w:type="continuationSeparator" w:id="0">
    <w:p w14:paraId="264FE4EA" w14:textId="77777777" w:rsidR="007D776F" w:rsidRDefault="007D776F" w:rsidP="006320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237646" w14:textId="77777777" w:rsidR="007D776F" w:rsidRDefault="007D776F" w:rsidP="00632046">
      <w:pPr>
        <w:spacing w:after="0" w:line="240" w:lineRule="auto"/>
      </w:pPr>
      <w:r>
        <w:separator/>
      </w:r>
    </w:p>
  </w:footnote>
  <w:footnote w:type="continuationSeparator" w:id="0">
    <w:p w14:paraId="1FD11F06" w14:textId="77777777" w:rsidR="007D776F" w:rsidRDefault="007D776F" w:rsidP="006320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C4E4C"/>
    <w:multiLevelType w:val="hybridMultilevel"/>
    <w:tmpl w:val="83EA40C0"/>
    <w:lvl w:ilvl="0" w:tplc="AD449DC2">
      <w:start w:val="1"/>
      <w:numFmt w:val="upperRoman"/>
      <w:lvlText w:val="%1."/>
      <w:lvlJc w:val="left"/>
      <w:pPr>
        <w:ind w:left="1440" w:hanging="72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 w15:restartNumberingAfterBreak="0">
    <w:nsid w:val="02C026CD"/>
    <w:multiLevelType w:val="hybridMultilevel"/>
    <w:tmpl w:val="7AE06DD0"/>
    <w:name w:val="Numbered list 10"/>
    <w:lvl w:ilvl="0" w:tplc="1E9001CC">
      <w:numFmt w:val="bullet"/>
      <w:lvlText w:val="-"/>
      <w:lvlJc w:val="left"/>
      <w:pPr>
        <w:ind w:left="360" w:firstLine="0"/>
      </w:pPr>
      <w:rPr>
        <w:rFonts w:ascii="Times New Roman" w:eastAsia="Calibri" w:hAnsi="Times New Roman" w:cs="Times New Roman"/>
      </w:rPr>
    </w:lvl>
    <w:lvl w:ilvl="1" w:tplc="3ECEBEE6">
      <w:numFmt w:val="bullet"/>
      <w:lvlText w:val="o"/>
      <w:lvlJc w:val="left"/>
      <w:pPr>
        <w:ind w:left="1080" w:firstLine="0"/>
      </w:pPr>
      <w:rPr>
        <w:rFonts w:ascii="Courier New" w:hAnsi="Courier New" w:cs="Courier New"/>
      </w:rPr>
    </w:lvl>
    <w:lvl w:ilvl="2" w:tplc="358CB380">
      <w:numFmt w:val="bullet"/>
      <w:lvlText w:val=""/>
      <w:lvlJc w:val="left"/>
      <w:pPr>
        <w:ind w:left="1800" w:firstLine="0"/>
      </w:pPr>
      <w:rPr>
        <w:rFonts w:ascii="Wingdings" w:eastAsia="Wingdings" w:hAnsi="Wingdings" w:cs="Wingdings"/>
      </w:rPr>
    </w:lvl>
    <w:lvl w:ilvl="3" w:tplc="BC605B94">
      <w:numFmt w:val="bullet"/>
      <w:lvlText w:val=""/>
      <w:lvlJc w:val="left"/>
      <w:pPr>
        <w:ind w:left="2520" w:firstLine="0"/>
      </w:pPr>
      <w:rPr>
        <w:rFonts w:ascii="Symbol" w:hAnsi="Symbol"/>
      </w:rPr>
    </w:lvl>
    <w:lvl w:ilvl="4" w:tplc="C97E7942">
      <w:numFmt w:val="bullet"/>
      <w:lvlText w:val="o"/>
      <w:lvlJc w:val="left"/>
      <w:pPr>
        <w:ind w:left="3240" w:firstLine="0"/>
      </w:pPr>
      <w:rPr>
        <w:rFonts w:ascii="Courier New" w:hAnsi="Courier New" w:cs="Courier New"/>
      </w:rPr>
    </w:lvl>
    <w:lvl w:ilvl="5" w:tplc="44AABB24">
      <w:numFmt w:val="bullet"/>
      <w:lvlText w:val=""/>
      <w:lvlJc w:val="left"/>
      <w:pPr>
        <w:ind w:left="3960" w:firstLine="0"/>
      </w:pPr>
      <w:rPr>
        <w:rFonts w:ascii="Wingdings" w:eastAsia="Wingdings" w:hAnsi="Wingdings" w:cs="Wingdings"/>
      </w:rPr>
    </w:lvl>
    <w:lvl w:ilvl="6" w:tplc="C75C8744">
      <w:numFmt w:val="bullet"/>
      <w:lvlText w:val=""/>
      <w:lvlJc w:val="left"/>
      <w:pPr>
        <w:ind w:left="4680" w:firstLine="0"/>
      </w:pPr>
      <w:rPr>
        <w:rFonts w:ascii="Symbol" w:hAnsi="Symbol"/>
      </w:rPr>
    </w:lvl>
    <w:lvl w:ilvl="7" w:tplc="E31C5820">
      <w:numFmt w:val="bullet"/>
      <w:lvlText w:val="o"/>
      <w:lvlJc w:val="left"/>
      <w:pPr>
        <w:ind w:left="5400" w:firstLine="0"/>
      </w:pPr>
      <w:rPr>
        <w:rFonts w:ascii="Courier New" w:hAnsi="Courier New" w:cs="Courier New"/>
      </w:rPr>
    </w:lvl>
    <w:lvl w:ilvl="8" w:tplc="490E3684">
      <w:numFmt w:val="bullet"/>
      <w:lvlText w:val=""/>
      <w:lvlJc w:val="left"/>
      <w:pPr>
        <w:ind w:left="6120" w:firstLine="0"/>
      </w:pPr>
      <w:rPr>
        <w:rFonts w:ascii="Wingdings" w:eastAsia="Wingdings" w:hAnsi="Wingdings" w:cs="Wingdings"/>
      </w:rPr>
    </w:lvl>
  </w:abstractNum>
  <w:abstractNum w:abstractNumId="2" w15:restartNumberingAfterBreak="0">
    <w:nsid w:val="180B1571"/>
    <w:multiLevelType w:val="hybridMultilevel"/>
    <w:tmpl w:val="4834574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232F6D39"/>
    <w:multiLevelType w:val="hybridMultilevel"/>
    <w:tmpl w:val="EB443472"/>
    <w:name w:val="Numbered list 20"/>
    <w:lvl w:ilvl="0" w:tplc="5CEE899C">
      <w:start w:val="1"/>
      <w:numFmt w:val="decimal"/>
      <w:lvlText w:val="%1."/>
      <w:lvlJc w:val="left"/>
      <w:pPr>
        <w:ind w:left="720" w:firstLine="0"/>
      </w:pPr>
    </w:lvl>
    <w:lvl w:ilvl="1" w:tplc="BDDE8B9A">
      <w:start w:val="1"/>
      <w:numFmt w:val="lowerLetter"/>
      <w:lvlText w:val="%2."/>
      <w:lvlJc w:val="left"/>
      <w:pPr>
        <w:ind w:left="1440" w:firstLine="0"/>
      </w:pPr>
    </w:lvl>
    <w:lvl w:ilvl="2" w:tplc="FD2AD67E">
      <w:start w:val="1"/>
      <w:numFmt w:val="lowerRoman"/>
      <w:lvlText w:val="%3."/>
      <w:lvlJc w:val="left"/>
      <w:pPr>
        <w:ind w:left="2340" w:firstLine="0"/>
      </w:pPr>
    </w:lvl>
    <w:lvl w:ilvl="3" w:tplc="61268CBE">
      <w:start w:val="1"/>
      <w:numFmt w:val="decimal"/>
      <w:lvlText w:val="%4."/>
      <w:lvlJc w:val="left"/>
      <w:pPr>
        <w:ind w:left="2880" w:firstLine="0"/>
      </w:pPr>
    </w:lvl>
    <w:lvl w:ilvl="4" w:tplc="FB06DC68">
      <w:start w:val="1"/>
      <w:numFmt w:val="lowerLetter"/>
      <w:lvlText w:val="%5."/>
      <w:lvlJc w:val="left"/>
      <w:pPr>
        <w:ind w:left="3600" w:firstLine="0"/>
      </w:pPr>
    </w:lvl>
    <w:lvl w:ilvl="5" w:tplc="2E329942">
      <w:start w:val="1"/>
      <w:numFmt w:val="lowerRoman"/>
      <w:lvlText w:val="%6."/>
      <w:lvlJc w:val="left"/>
      <w:pPr>
        <w:ind w:left="4500" w:firstLine="0"/>
      </w:pPr>
    </w:lvl>
    <w:lvl w:ilvl="6" w:tplc="1556C9BC">
      <w:start w:val="1"/>
      <w:numFmt w:val="decimal"/>
      <w:lvlText w:val="%7."/>
      <w:lvlJc w:val="left"/>
      <w:pPr>
        <w:ind w:left="5040" w:firstLine="0"/>
      </w:pPr>
    </w:lvl>
    <w:lvl w:ilvl="7" w:tplc="BAEEC108">
      <w:start w:val="1"/>
      <w:numFmt w:val="lowerLetter"/>
      <w:lvlText w:val="%8."/>
      <w:lvlJc w:val="left"/>
      <w:pPr>
        <w:ind w:left="5760" w:firstLine="0"/>
      </w:pPr>
    </w:lvl>
    <w:lvl w:ilvl="8" w:tplc="031C8AE8">
      <w:start w:val="1"/>
      <w:numFmt w:val="lowerRoman"/>
      <w:lvlText w:val="%9."/>
      <w:lvlJc w:val="left"/>
      <w:pPr>
        <w:ind w:left="6660" w:firstLine="0"/>
      </w:pPr>
    </w:lvl>
  </w:abstractNum>
  <w:abstractNum w:abstractNumId="4" w15:restartNumberingAfterBreak="0">
    <w:nsid w:val="2D6F2B6F"/>
    <w:multiLevelType w:val="hybridMultilevel"/>
    <w:tmpl w:val="9C1442F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31D90DB7"/>
    <w:multiLevelType w:val="hybridMultilevel"/>
    <w:tmpl w:val="76DC745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366217B2"/>
    <w:multiLevelType w:val="hybridMultilevel"/>
    <w:tmpl w:val="1418591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371A1405"/>
    <w:multiLevelType w:val="hybridMultilevel"/>
    <w:tmpl w:val="1A8A79CE"/>
    <w:lvl w:ilvl="0" w:tplc="CB7606C6">
      <w:start w:val="1"/>
      <w:numFmt w:val="decimal"/>
      <w:lvlText w:val="%1."/>
      <w:lvlJc w:val="left"/>
      <w:pPr>
        <w:ind w:left="1800" w:hanging="360"/>
      </w:pPr>
      <w:rPr>
        <w:rFonts w:hint="default"/>
      </w:rPr>
    </w:lvl>
    <w:lvl w:ilvl="1" w:tplc="040E0019" w:tentative="1">
      <w:start w:val="1"/>
      <w:numFmt w:val="lowerLetter"/>
      <w:lvlText w:val="%2."/>
      <w:lvlJc w:val="left"/>
      <w:pPr>
        <w:ind w:left="2520" w:hanging="360"/>
      </w:pPr>
    </w:lvl>
    <w:lvl w:ilvl="2" w:tplc="040E001B" w:tentative="1">
      <w:start w:val="1"/>
      <w:numFmt w:val="lowerRoman"/>
      <w:lvlText w:val="%3."/>
      <w:lvlJc w:val="right"/>
      <w:pPr>
        <w:ind w:left="3240" w:hanging="180"/>
      </w:pPr>
    </w:lvl>
    <w:lvl w:ilvl="3" w:tplc="040E000F" w:tentative="1">
      <w:start w:val="1"/>
      <w:numFmt w:val="decimal"/>
      <w:lvlText w:val="%4."/>
      <w:lvlJc w:val="left"/>
      <w:pPr>
        <w:ind w:left="3960" w:hanging="360"/>
      </w:pPr>
    </w:lvl>
    <w:lvl w:ilvl="4" w:tplc="040E0019" w:tentative="1">
      <w:start w:val="1"/>
      <w:numFmt w:val="lowerLetter"/>
      <w:lvlText w:val="%5."/>
      <w:lvlJc w:val="left"/>
      <w:pPr>
        <w:ind w:left="4680" w:hanging="360"/>
      </w:pPr>
    </w:lvl>
    <w:lvl w:ilvl="5" w:tplc="040E001B" w:tentative="1">
      <w:start w:val="1"/>
      <w:numFmt w:val="lowerRoman"/>
      <w:lvlText w:val="%6."/>
      <w:lvlJc w:val="right"/>
      <w:pPr>
        <w:ind w:left="5400" w:hanging="180"/>
      </w:pPr>
    </w:lvl>
    <w:lvl w:ilvl="6" w:tplc="040E000F" w:tentative="1">
      <w:start w:val="1"/>
      <w:numFmt w:val="decimal"/>
      <w:lvlText w:val="%7."/>
      <w:lvlJc w:val="left"/>
      <w:pPr>
        <w:ind w:left="6120" w:hanging="360"/>
      </w:pPr>
    </w:lvl>
    <w:lvl w:ilvl="7" w:tplc="040E0019" w:tentative="1">
      <w:start w:val="1"/>
      <w:numFmt w:val="lowerLetter"/>
      <w:lvlText w:val="%8."/>
      <w:lvlJc w:val="left"/>
      <w:pPr>
        <w:ind w:left="6840" w:hanging="360"/>
      </w:pPr>
    </w:lvl>
    <w:lvl w:ilvl="8" w:tplc="040E001B" w:tentative="1">
      <w:start w:val="1"/>
      <w:numFmt w:val="lowerRoman"/>
      <w:lvlText w:val="%9."/>
      <w:lvlJc w:val="right"/>
      <w:pPr>
        <w:ind w:left="7560" w:hanging="180"/>
      </w:pPr>
    </w:lvl>
  </w:abstractNum>
  <w:abstractNum w:abstractNumId="8" w15:restartNumberingAfterBreak="0">
    <w:nsid w:val="419E0D2B"/>
    <w:multiLevelType w:val="hybridMultilevel"/>
    <w:tmpl w:val="92B21BAA"/>
    <w:name w:val="Numbered list 16"/>
    <w:lvl w:ilvl="0" w:tplc="C6B0C506">
      <w:start w:val="1"/>
      <w:numFmt w:val="decimal"/>
      <w:pStyle w:val="Hivatkozottirodalomhadmrnk"/>
      <w:lvlText w:val="[%1]"/>
      <w:lvlJc w:val="left"/>
      <w:pPr>
        <w:ind w:left="0" w:firstLine="0"/>
      </w:pPr>
      <w:rPr>
        <w:b w:val="0"/>
      </w:rPr>
    </w:lvl>
    <w:lvl w:ilvl="1" w:tplc="9E6C1DE8">
      <w:start w:val="1"/>
      <w:numFmt w:val="lowerLetter"/>
      <w:lvlText w:val="%2."/>
      <w:lvlJc w:val="left"/>
      <w:pPr>
        <w:ind w:left="436" w:firstLine="0"/>
      </w:pPr>
    </w:lvl>
    <w:lvl w:ilvl="2" w:tplc="90523B76">
      <w:start w:val="1"/>
      <w:numFmt w:val="lowerRoman"/>
      <w:lvlText w:val="%3."/>
      <w:lvlJc w:val="left"/>
      <w:pPr>
        <w:ind w:left="1336" w:firstLine="0"/>
      </w:pPr>
    </w:lvl>
    <w:lvl w:ilvl="3" w:tplc="AF9ED24C">
      <w:start w:val="1"/>
      <w:numFmt w:val="decimal"/>
      <w:lvlText w:val="%4."/>
      <w:lvlJc w:val="left"/>
      <w:pPr>
        <w:ind w:left="1876" w:firstLine="0"/>
      </w:pPr>
    </w:lvl>
    <w:lvl w:ilvl="4" w:tplc="28824C24">
      <w:start w:val="1"/>
      <w:numFmt w:val="lowerLetter"/>
      <w:lvlText w:val="%5."/>
      <w:lvlJc w:val="left"/>
      <w:pPr>
        <w:ind w:left="2596" w:firstLine="0"/>
      </w:pPr>
    </w:lvl>
    <w:lvl w:ilvl="5" w:tplc="7674DF2A">
      <w:start w:val="1"/>
      <w:numFmt w:val="lowerRoman"/>
      <w:lvlText w:val="%6."/>
      <w:lvlJc w:val="left"/>
      <w:pPr>
        <w:ind w:left="3496" w:firstLine="0"/>
      </w:pPr>
    </w:lvl>
    <w:lvl w:ilvl="6" w:tplc="CAAA6194">
      <w:start w:val="1"/>
      <w:numFmt w:val="decimal"/>
      <w:lvlText w:val="%7."/>
      <w:lvlJc w:val="left"/>
      <w:pPr>
        <w:ind w:left="4036" w:firstLine="0"/>
      </w:pPr>
    </w:lvl>
    <w:lvl w:ilvl="7" w:tplc="E124E6EC">
      <w:start w:val="1"/>
      <w:numFmt w:val="lowerLetter"/>
      <w:lvlText w:val="%8."/>
      <w:lvlJc w:val="left"/>
      <w:pPr>
        <w:ind w:left="4756" w:firstLine="0"/>
      </w:pPr>
    </w:lvl>
    <w:lvl w:ilvl="8" w:tplc="6F92A026">
      <w:start w:val="1"/>
      <w:numFmt w:val="lowerRoman"/>
      <w:lvlText w:val="%9."/>
      <w:lvlJc w:val="left"/>
      <w:pPr>
        <w:ind w:left="5656" w:firstLine="0"/>
      </w:pPr>
    </w:lvl>
  </w:abstractNum>
  <w:abstractNum w:abstractNumId="9" w15:restartNumberingAfterBreak="0">
    <w:nsid w:val="51D526A2"/>
    <w:multiLevelType w:val="hybridMultilevel"/>
    <w:tmpl w:val="2A16F828"/>
    <w:lvl w:ilvl="0" w:tplc="67EADB28">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53D55B6E"/>
    <w:multiLevelType w:val="hybridMultilevel"/>
    <w:tmpl w:val="195AFA8A"/>
    <w:lvl w:ilvl="0" w:tplc="1EB09C86">
      <w:start w:val="1"/>
      <w:numFmt w:val="decimal"/>
      <w:lvlText w:val="[%1]"/>
      <w:lvlJc w:val="left"/>
      <w:pPr>
        <w:ind w:left="360" w:hanging="360"/>
      </w:pPr>
      <w:rPr>
        <w:rFonts w:hint="default"/>
        <w:color w:val="auto"/>
      </w:rPr>
    </w:lvl>
    <w:lvl w:ilvl="1" w:tplc="040E0019" w:tentative="1">
      <w:start w:val="1"/>
      <w:numFmt w:val="lowerLetter"/>
      <w:lvlText w:val="%2."/>
      <w:lvlJc w:val="left"/>
      <w:pPr>
        <w:ind w:left="796" w:hanging="360"/>
      </w:pPr>
    </w:lvl>
    <w:lvl w:ilvl="2" w:tplc="040E001B" w:tentative="1">
      <w:start w:val="1"/>
      <w:numFmt w:val="lowerRoman"/>
      <w:lvlText w:val="%3."/>
      <w:lvlJc w:val="right"/>
      <w:pPr>
        <w:ind w:left="1516" w:hanging="180"/>
      </w:pPr>
    </w:lvl>
    <w:lvl w:ilvl="3" w:tplc="040E000F" w:tentative="1">
      <w:start w:val="1"/>
      <w:numFmt w:val="decimal"/>
      <w:lvlText w:val="%4."/>
      <w:lvlJc w:val="left"/>
      <w:pPr>
        <w:ind w:left="2236" w:hanging="360"/>
      </w:pPr>
    </w:lvl>
    <w:lvl w:ilvl="4" w:tplc="040E0019" w:tentative="1">
      <w:start w:val="1"/>
      <w:numFmt w:val="lowerLetter"/>
      <w:lvlText w:val="%5."/>
      <w:lvlJc w:val="left"/>
      <w:pPr>
        <w:ind w:left="2956" w:hanging="360"/>
      </w:pPr>
    </w:lvl>
    <w:lvl w:ilvl="5" w:tplc="040E001B" w:tentative="1">
      <w:start w:val="1"/>
      <w:numFmt w:val="lowerRoman"/>
      <w:lvlText w:val="%6."/>
      <w:lvlJc w:val="right"/>
      <w:pPr>
        <w:ind w:left="3676" w:hanging="180"/>
      </w:pPr>
    </w:lvl>
    <w:lvl w:ilvl="6" w:tplc="040E000F" w:tentative="1">
      <w:start w:val="1"/>
      <w:numFmt w:val="decimal"/>
      <w:lvlText w:val="%7."/>
      <w:lvlJc w:val="left"/>
      <w:pPr>
        <w:ind w:left="4396" w:hanging="360"/>
      </w:pPr>
    </w:lvl>
    <w:lvl w:ilvl="7" w:tplc="040E0019" w:tentative="1">
      <w:start w:val="1"/>
      <w:numFmt w:val="lowerLetter"/>
      <w:lvlText w:val="%8."/>
      <w:lvlJc w:val="left"/>
      <w:pPr>
        <w:ind w:left="5116" w:hanging="360"/>
      </w:pPr>
    </w:lvl>
    <w:lvl w:ilvl="8" w:tplc="040E001B" w:tentative="1">
      <w:start w:val="1"/>
      <w:numFmt w:val="lowerRoman"/>
      <w:lvlText w:val="%9."/>
      <w:lvlJc w:val="right"/>
      <w:pPr>
        <w:ind w:left="5836" w:hanging="180"/>
      </w:pPr>
    </w:lvl>
  </w:abstractNum>
  <w:abstractNum w:abstractNumId="11" w15:restartNumberingAfterBreak="0">
    <w:nsid w:val="565960FA"/>
    <w:multiLevelType w:val="hybridMultilevel"/>
    <w:tmpl w:val="528A05E6"/>
    <w:lvl w:ilvl="0" w:tplc="040E0015">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57DF5DA9"/>
    <w:multiLevelType w:val="multilevel"/>
    <w:tmpl w:val="18E8D0B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8C83622"/>
    <w:multiLevelType w:val="hybridMultilevel"/>
    <w:tmpl w:val="97C2607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6E197455"/>
    <w:multiLevelType w:val="hybridMultilevel"/>
    <w:tmpl w:val="822E8D8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705D686D"/>
    <w:multiLevelType w:val="hybridMultilevel"/>
    <w:tmpl w:val="D9844E5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9"/>
  </w:num>
  <w:num w:numId="2">
    <w:abstractNumId w:val="4"/>
  </w:num>
  <w:num w:numId="3">
    <w:abstractNumId w:val="0"/>
  </w:num>
  <w:num w:numId="4">
    <w:abstractNumId w:val="11"/>
  </w:num>
  <w:num w:numId="5">
    <w:abstractNumId w:val="7"/>
  </w:num>
  <w:num w:numId="6">
    <w:abstractNumId w:val="12"/>
  </w:num>
  <w:num w:numId="7">
    <w:abstractNumId w:val="5"/>
  </w:num>
  <w:num w:numId="8">
    <w:abstractNumId w:val="13"/>
  </w:num>
  <w:num w:numId="9">
    <w:abstractNumId w:val="15"/>
  </w:num>
  <w:num w:numId="10">
    <w:abstractNumId w:val="14"/>
  </w:num>
  <w:num w:numId="11">
    <w:abstractNumId w:val="6"/>
  </w:num>
  <w:num w:numId="12">
    <w:abstractNumId w:val="2"/>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CD0"/>
    <w:rsid w:val="000066D6"/>
    <w:rsid w:val="000408CD"/>
    <w:rsid w:val="00054AC7"/>
    <w:rsid w:val="00061D44"/>
    <w:rsid w:val="00097F55"/>
    <w:rsid w:val="000D4B71"/>
    <w:rsid w:val="00171550"/>
    <w:rsid w:val="00191724"/>
    <w:rsid w:val="001D1BF5"/>
    <w:rsid w:val="002340D7"/>
    <w:rsid w:val="00234F17"/>
    <w:rsid w:val="00266197"/>
    <w:rsid w:val="00267535"/>
    <w:rsid w:val="002855E5"/>
    <w:rsid w:val="002B0B95"/>
    <w:rsid w:val="002D1137"/>
    <w:rsid w:val="002D716E"/>
    <w:rsid w:val="002E18FF"/>
    <w:rsid w:val="00331D55"/>
    <w:rsid w:val="00350328"/>
    <w:rsid w:val="003557A1"/>
    <w:rsid w:val="00373B46"/>
    <w:rsid w:val="00387B9D"/>
    <w:rsid w:val="003F058B"/>
    <w:rsid w:val="00413BD6"/>
    <w:rsid w:val="00464262"/>
    <w:rsid w:val="00491018"/>
    <w:rsid w:val="004A76D0"/>
    <w:rsid w:val="004B75BA"/>
    <w:rsid w:val="004D1ABA"/>
    <w:rsid w:val="0054168F"/>
    <w:rsid w:val="00554E63"/>
    <w:rsid w:val="00571AB1"/>
    <w:rsid w:val="005C43BE"/>
    <w:rsid w:val="006316FD"/>
    <w:rsid w:val="00632046"/>
    <w:rsid w:val="00661DB5"/>
    <w:rsid w:val="006C663B"/>
    <w:rsid w:val="006C7FF0"/>
    <w:rsid w:val="00734798"/>
    <w:rsid w:val="007B217A"/>
    <w:rsid w:val="007D776F"/>
    <w:rsid w:val="007F0DED"/>
    <w:rsid w:val="007F46A8"/>
    <w:rsid w:val="0081220D"/>
    <w:rsid w:val="00855A70"/>
    <w:rsid w:val="0088404F"/>
    <w:rsid w:val="0094289A"/>
    <w:rsid w:val="00A033D4"/>
    <w:rsid w:val="00A167FA"/>
    <w:rsid w:val="00A451D0"/>
    <w:rsid w:val="00A6416F"/>
    <w:rsid w:val="00A64ECE"/>
    <w:rsid w:val="00A92CD0"/>
    <w:rsid w:val="00A930AC"/>
    <w:rsid w:val="00B15CD6"/>
    <w:rsid w:val="00B6427C"/>
    <w:rsid w:val="00B73EAD"/>
    <w:rsid w:val="00B84F4C"/>
    <w:rsid w:val="00BA50C7"/>
    <w:rsid w:val="00BC67DC"/>
    <w:rsid w:val="00BD523D"/>
    <w:rsid w:val="00C514EE"/>
    <w:rsid w:val="00C809D6"/>
    <w:rsid w:val="00CA1887"/>
    <w:rsid w:val="00CA7F6B"/>
    <w:rsid w:val="00CC1CE5"/>
    <w:rsid w:val="00D0662D"/>
    <w:rsid w:val="00D33745"/>
    <w:rsid w:val="00D3382D"/>
    <w:rsid w:val="00D461F0"/>
    <w:rsid w:val="00D8209E"/>
    <w:rsid w:val="00DD0C67"/>
    <w:rsid w:val="00E41D4F"/>
    <w:rsid w:val="00E6292E"/>
    <w:rsid w:val="00E67E4A"/>
    <w:rsid w:val="00E70D1D"/>
    <w:rsid w:val="00E805D0"/>
    <w:rsid w:val="00E93A28"/>
    <w:rsid w:val="00EB776C"/>
    <w:rsid w:val="00F1520B"/>
    <w:rsid w:val="00F2302D"/>
    <w:rsid w:val="00F271D8"/>
    <w:rsid w:val="00F513EE"/>
    <w:rsid w:val="00FE2B79"/>
    <w:rsid w:val="00FE512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011A3A"/>
  <w15:chartTrackingRefBased/>
  <w15:docId w15:val="{38053A49-9320-437A-80D3-4A54458E4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88404F"/>
  </w:style>
  <w:style w:type="paragraph" w:styleId="Cmsor1">
    <w:name w:val="heading 1"/>
    <w:basedOn w:val="Norml"/>
    <w:next w:val="Norml"/>
    <w:link w:val="Cmsor1Char"/>
    <w:uiPriority w:val="9"/>
    <w:qFormat/>
    <w:rsid w:val="00D33745"/>
    <w:pPr>
      <w:keepNext/>
      <w:keepLines/>
      <w:spacing w:before="240" w:after="0"/>
      <w:outlineLvl w:val="0"/>
    </w:pPr>
    <w:rPr>
      <w:rFonts w:asciiTheme="majorHAnsi" w:eastAsiaTheme="majorEastAsia" w:hAnsiTheme="majorHAnsi" w:cstheme="majorBidi"/>
      <w:color w:val="2F5496" w:themeColor="accent1" w:themeShade="BF"/>
      <w:kern w:val="0"/>
      <w:sz w:val="32"/>
      <w:szCs w:val="32"/>
      <w:lang w:eastAsia="hu-HU"/>
      <w14:ligatures w14:val="none"/>
    </w:rPr>
  </w:style>
  <w:style w:type="paragraph" w:styleId="Cmsor2">
    <w:name w:val="heading 2"/>
    <w:basedOn w:val="Norml"/>
    <w:next w:val="Norml"/>
    <w:link w:val="Cmsor2Char"/>
    <w:uiPriority w:val="9"/>
    <w:semiHidden/>
    <w:unhideWhenUsed/>
    <w:qFormat/>
    <w:rsid w:val="0054168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Cmsor5">
    <w:name w:val="heading 5"/>
    <w:basedOn w:val="Norml"/>
    <w:next w:val="Norml"/>
    <w:link w:val="Cmsor5Char"/>
    <w:uiPriority w:val="9"/>
    <w:semiHidden/>
    <w:unhideWhenUsed/>
    <w:qFormat/>
    <w:rsid w:val="0081220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39"/>
    <w:rsid w:val="00A92C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qFormat/>
    <w:rsid w:val="00350328"/>
    <w:pPr>
      <w:ind w:left="720"/>
      <w:contextualSpacing/>
    </w:pPr>
  </w:style>
  <w:style w:type="character" w:customStyle="1" w:styleId="Cmsor1Char">
    <w:name w:val="Címsor 1 Char"/>
    <w:basedOn w:val="Bekezdsalapbettpusa"/>
    <w:link w:val="Cmsor1"/>
    <w:uiPriority w:val="9"/>
    <w:rsid w:val="00D33745"/>
    <w:rPr>
      <w:rFonts w:asciiTheme="majorHAnsi" w:eastAsiaTheme="majorEastAsia" w:hAnsiTheme="majorHAnsi" w:cstheme="majorBidi"/>
      <w:color w:val="2F5496" w:themeColor="accent1" w:themeShade="BF"/>
      <w:kern w:val="0"/>
      <w:sz w:val="32"/>
      <w:szCs w:val="32"/>
      <w:lang w:eastAsia="hu-HU"/>
      <w14:ligatures w14:val="none"/>
    </w:rPr>
  </w:style>
  <w:style w:type="paragraph" w:styleId="HTML-kntformzott">
    <w:name w:val="HTML Preformatted"/>
    <w:basedOn w:val="Norml"/>
    <w:link w:val="HTML-kntformzottChar"/>
    <w:uiPriority w:val="99"/>
    <w:semiHidden/>
    <w:unhideWhenUsed/>
    <w:rsid w:val="00D33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hu-HU"/>
      <w14:ligatures w14:val="none"/>
    </w:rPr>
  </w:style>
  <w:style w:type="character" w:customStyle="1" w:styleId="HTML-kntformzottChar">
    <w:name w:val="HTML-ként formázott Char"/>
    <w:basedOn w:val="Bekezdsalapbettpusa"/>
    <w:link w:val="HTML-kntformzott"/>
    <w:uiPriority w:val="99"/>
    <w:semiHidden/>
    <w:rsid w:val="00D33745"/>
    <w:rPr>
      <w:rFonts w:ascii="Courier New" w:eastAsia="Times New Roman" w:hAnsi="Courier New" w:cs="Courier New"/>
      <w:kern w:val="0"/>
      <w:sz w:val="20"/>
      <w:szCs w:val="20"/>
      <w:lang w:eastAsia="hu-HU"/>
      <w14:ligatures w14:val="none"/>
    </w:rPr>
  </w:style>
  <w:style w:type="character" w:customStyle="1" w:styleId="y2iqfc">
    <w:name w:val="y2iqfc"/>
    <w:basedOn w:val="Bekezdsalapbettpusa"/>
    <w:rsid w:val="00D33745"/>
  </w:style>
  <w:style w:type="paragraph" w:styleId="Irodalomjegyzk">
    <w:name w:val="Bibliography"/>
    <w:basedOn w:val="Norml"/>
    <w:next w:val="Norml"/>
    <w:uiPriority w:val="37"/>
    <w:unhideWhenUsed/>
    <w:rsid w:val="00FE512E"/>
  </w:style>
  <w:style w:type="character" w:styleId="Hiperhivatkozs">
    <w:name w:val="Hyperlink"/>
    <w:basedOn w:val="Bekezdsalapbettpusa"/>
    <w:uiPriority w:val="99"/>
    <w:unhideWhenUsed/>
    <w:rsid w:val="00FE512E"/>
    <w:rPr>
      <w:color w:val="0563C1" w:themeColor="hyperlink"/>
      <w:u w:val="single"/>
    </w:rPr>
  </w:style>
  <w:style w:type="character" w:customStyle="1" w:styleId="Feloldatlanmegemlts1">
    <w:name w:val="Feloldatlan megemlítés1"/>
    <w:basedOn w:val="Bekezdsalapbettpusa"/>
    <w:uiPriority w:val="99"/>
    <w:semiHidden/>
    <w:unhideWhenUsed/>
    <w:rsid w:val="00FE512E"/>
    <w:rPr>
      <w:color w:val="605E5C"/>
      <w:shd w:val="clear" w:color="auto" w:fill="E1DFDD"/>
    </w:rPr>
  </w:style>
  <w:style w:type="paragraph" w:styleId="Lbjegyzetszveg">
    <w:name w:val="footnote text"/>
    <w:basedOn w:val="Norml"/>
    <w:link w:val="LbjegyzetszvegChar"/>
    <w:semiHidden/>
    <w:unhideWhenUsed/>
    <w:qFormat/>
    <w:rsid w:val="00632046"/>
    <w:pPr>
      <w:spacing w:after="0" w:line="240" w:lineRule="auto"/>
    </w:pPr>
    <w:rPr>
      <w:sz w:val="20"/>
      <w:szCs w:val="20"/>
    </w:rPr>
  </w:style>
  <w:style w:type="character" w:customStyle="1" w:styleId="LbjegyzetszvegChar">
    <w:name w:val="Lábjegyzetszöveg Char"/>
    <w:basedOn w:val="Bekezdsalapbettpusa"/>
    <w:link w:val="Lbjegyzetszveg"/>
    <w:semiHidden/>
    <w:rsid w:val="00632046"/>
    <w:rPr>
      <w:sz w:val="20"/>
      <w:szCs w:val="20"/>
    </w:rPr>
  </w:style>
  <w:style w:type="character" w:styleId="Lbjegyzet-hivatkozs">
    <w:name w:val="footnote reference"/>
    <w:basedOn w:val="Bekezdsalapbettpusa"/>
    <w:semiHidden/>
    <w:unhideWhenUsed/>
    <w:rsid w:val="00632046"/>
    <w:rPr>
      <w:vertAlign w:val="superscript"/>
    </w:rPr>
  </w:style>
  <w:style w:type="paragraph" w:customStyle="1" w:styleId="Standard">
    <w:name w:val="Standard"/>
    <w:qFormat/>
    <w:rsid w:val="00DD0C67"/>
    <w:pPr>
      <w:suppressAutoHyphens/>
      <w:spacing w:after="0" w:line="240" w:lineRule="auto"/>
    </w:pPr>
    <w:rPr>
      <w:rFonts w:ascii="Liberation Serif" w:eastAsia="NSimSun" w:hAnsi="Liberation Serif" w:cs="Arial"/>
      <w:sz w:val="24"/>
      <w:szCs w:val="24"/>
      <w:lang w:val="en-GB" w:eastAsia="zh-CN" w:bidi="hi-IN"/>
      <w14:ligatures w14:val="none"/>
    </w:rPr>
  </w:style>
  <w:style w:type="paragraph" w:styleId="NormlWeb">
    <w:name w:val="Normal (Web)"/>
    <w:basedOn w:val="Norml"/>
    <w:uiPriority w:val="99"/>
    <w:unhideWhenUsed/>
    <w:qFormat/>
    <w:rsid w:val="00E67E4A"/>
    <w:pPr>
      <w:spacing w:before="100" w:beforeAutospacing="1" w:after="100" w:afterAutospacing="1" w:line="240" w:lineRule="auto"/>
    </w:pPr>
    <w:rPr>
      <w:rFonts w:ascii="Times New Roman" w:eastAsia="Times New Roman" w:hAnsi="Times New Roman" w:cs="Calibri"/>
      <w:kern w:val="0"/>
      <w:sz w:val="24"/>
      <w14:ligatures w14:val="none"/>
    </w:rPr>
  </w:style>
  <w:style w:type="paragraph" w:customStyle="1" w:styleId="Hivatkozottirodalomhadmrnk">
    <w:name w:val="Hivatkozott irodalom_hadmérnök"/>
    <w:basedOn w:val="Norml"/>
    <w:link w:val="HivatkozottirodalomhadmrnkChar"/>
    <w:qFormat/>
    <w:rsid w:val="00E67E4A"/>
    <w:pPr>
      <w:numPr>
        <w:numId w:val="15"/>
      </w:numPr>
      <w:spacing w:after="0" w:line="240" w:lineRule="auto"/>
      <w:contextualSpacing/>
      <w:jc w:val="both"/>
    </w:pPr>
    <w:rPr>
      <w:rFonts w:ascii="Times New Roman" w:eastAsia="Calibri" w:hAnsi="Times New Roman" w:cs="Calibri"/>
      <w:kern w:val="0"/>
      <w:sz w:val="24"/>
      <w14:ligatures w14:val="none"/>
    </w:rPr>
  </w:style>
  <w:style w:type="character" w:customStyle="1" w:styleId="Feloldatlanmegemlts2">
    <w:name w:val="Feloldatlan megemlítés2"/>
    <w:basedOn w:val="Bekezdsalapbettpusa"/>
    <w:uiPriority w:val="99"/>
    <w:semiHidden/>
    <w:unhideWhenUsed/>
    <w:rsid w:val="00E67E4A"/>
    <w:rPr>
      <w:color w:val="605E5C"/>
      <w:shd w:val="clear" w:color="auto" w:fill="E1DFDD"/>
    </w:rPr>
  </w:style>
  <w:style w:type="character" w:customStyle="1" w:styleId="UnresolvedMention">
    <w:name w:val="Unresolved Mention"/>
    <w:basedOn w:val="Bekezdsalapbettpusa"/>
    <w:uiPriority w:val="99"/>
    <w:semiHidden/>
    <w:unhideWhenUsed/>
    <w:rsid w:val="00B15CD6"/>
    <w:rPr>
      <w:color w:val="605E5C"/>
      <w:shd w:val="clear" w:color="auto" w:fill="E1DFDD"/>
    </w:rPr>
  </w:style>
  <w:style w:type="character" w:customStyle="1" w:styleId="Cmsor2Char">
    <w:name w:val="Címsor 2 Char"/>
    <w:basedOn w:val="Bekezdsalapbettpusa"/>
    <w:link w:val="Cmsor2"/>
    <w:uiPriority w:val="9"/>
    <w:semiHidden/>
    <w:rsid w:val="0054168F"/>
    <w:rPr>
      <w:rFonts w:asciiTheme="majorHAnsi" w:eastAsiaTheme="majorEastAsia" w:hAnsiTheme="majorHAnsi" w:cstheme="majorBidi"/>
      <w:color w:val="2F5496" w:themeColor="accent1" w:themeShade="BF"/>
      <w:sz w:val="26"/>
      <w:szCs w:val="26"/>
    </w:rPr>
  </w:style>
  <w:style w:type="character" w:customStyle="1" w:styleId="Cmsor5Char">
    <w:name w:val="Címsor 5 Char"/>
    <w:basedOn w:val="Bekezdsalapbettpusa"/>
    <w:link w:val="Cmsor5"/>
    <w:uiPriority w:val="9"/>
    <w:semiHidden/>
    <w:rsid w:val="0081220D"/>
    <w:rPr>
      <w:rFonts w:asciiTheme="majorHAnsi" w:eastAsiaTheme="majorEastAsia" w:hAnsiTheme="majorHAnsi" w:cstheme="majorBidi"/>
      <w:color w:val="2F5496" w:themeColor="accent1" w:themeShade="BF"/>
    </w:rPr>
  </w:style>
  <w:style w:type="character" w:customStyle="1" w:styleId="HivatkozottirodalomhadmrnkChar">
    <w:name w:val="Hivatkozott irodalom_hadmérnök Char"/>
    <w:basedOn w:val="Bekezdsalapbettpusa"/>
    <w:link w:val="Hivatkozottirodalomhadmrnk"/>
    <w:qFormat/>
    <w:rsid w:val="00FE2B79"/>
    <w:rPr>
      <w:rFonts w:ascii="Times New Roman" w:eastAsia="Calibri" w:hAnsi="Times New Roman" w:cs="Calibri"/>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030312">
      <w:bodyDiv w:val="1"/>
      <w:marLeft w:val="0"/>
      <w:marRight w:val="0"/>
      <w:marTop w:val="0"/>
      <w:marBottom w:val="0"/>
      <w:divBdr>
        <w:top w:val="none" w:sz="0" w:space="0" w:color="auto"/>
        <w:left w:val="none" w:sz="0" w:space="0" w:color="auto"/>
        <w:bottom w:val="none" w:sz="0" w:space="0" w:color="auto"/>
        <w:right w:val="none" w:sz="0" w:space="0" w:color="auto"/>
      </w:divBdr>
    </w:div>
    <w:div w:id="110562670">
      <w:bodyDiv w:val="1"/>
      <w:marLeft w:val="0"/>
      <w:marRight w:val="0"/>
      <w:marTop w:val="0"/>
      <w:marBottom w:val="0"/>
      <w:divBdr>
        <w:top w:val="none" w:sz="0" w:space="0" w:color="auto"/>
        <w:left w:val="none" w:sz="0" w:space="0" w:color="auto"/>
        <w:bottom w:val="none" w:sz="0" w:space="0" w:color="auto"/>
        <w:right w:val="none" w:sz="0" w:space="0" w:color="auto"/>
      </w:divBdr>
    </w:div>
    <w:div w:id="112138284">
      <w:bodyDiv w:val="1"/>
      <w:marLeft w:val="0"/>
      <w:marRight w:val="0"/>
      <w:marTop w:val="0"/>
      <w:marBottom w:val="0"/>
      <w:divBdr>
        <w:top w:val="none" w:sz="0" w:space="0" w:color="auto"/>
        <w:left w:val="none" w:sz="0" w:space="0" w:color="auto"/>
        <w:bottom w:val="none" w:sz="0" w:space="0" w:color="auto"/>
        <w:right w:val="none" w:sz="0" w:space="0" w:color="auto"/>
      </w:divBdr>
    </w:div>
    <w:div w:id="128666406">
      <w:bodyDiv w:val="1"/>
      <w:marLeft w:val="0"/>
      <w:marRight w:val="0"/>
      <w:marTop w:val="0"/>
      <w:marBottom w:val="0"/>
      <w:divBdr>
        <w:top w:val="none" w:sz="0" w:space="0" w:color="auto"/>
        <w:left w:val="none" w:sz="0" w:space="0" w:color="auto"/>
        <w:bottom w:val="none" w:sz="0" w:space="0" w:color="auto"/>
        <w:right w:val="none" w:sz="0" w:space="0" w:color="auto"/>
      </w:divBdr>
    </w:div>
    <w:div w:id="167143018">
      <w:bodyDiv w:val="1"/>
      <w:marLeft w:val="0"/>
      <w:marRight w:val="0"/>
      <w:marTop w:val="0"/>
      <w:marBottom w:val="0"/>
      <w:divBdr>
        <w:top w:val="none" w:sz="0" w:space="0" w:color="auto"/>
        <w:left w:val="none" w:sz="0" w:space="0" w:color="auto"/>
        <w:bottom w:val="none" w:sz="0" w:space="0" w:color="auto"/>
        <w:right w:val="none" w:sz="0" w:space="0" w:color="auto"/>
      </w:divBdr>
    </w:div>
    <w:div w:id="227543548">
      <w:bodyDiv w:val="1"/>
      <w:marLeft w:val="0"/>
      <w:marRight w:val="0"/>
      <w:marTop w:val="0"/>
      <w:marBottom w:val="0"/>
      <w:divBdr>
        <w:top w:val="none" w:sz="0" w:space="0" w:color="auto"/>
        <w:left w:val="none" w:sz="0" w:space="0" w:color="auto"/>
        <w:bottom w:val="none" w:sz="0" w:space="0" w:color="auto"/>
        <w:right w:val="none" w:sz="0" w:space="0" w:color="auto"/>
      </w:divBdr>
    </w:div>
    <w:div w:id="389620113">
      <w:bodyDiv w:val="1"/>
      <w:marLeft w:val="0"/>
      <w:marRight w:val="0"/>
      <w:marTop w:val="0"/>
      <w:marBottom w:val="0"/>
      <w:divBdr>
        <w:top w:val="none" w:sz="0" w:space="0" w:color="auto"/>
        <w:left w:val="none" w:sz="0" w:space="0" w:color="auto"/>
        <w:bottom w:val="none" w:sz="0" w:space="0" w:color="auto"/>
        <w:right w:val="none" w:sz="0" w:space="0" w:color="auto"/>
      </w:divBdr>
    </w:div>
    <w:div w:id="466700213">
      <w:bodyDiv w:val="1"/>
      <w:marLeft w:val="0"/>
      <w:marRight w:val="0"/>
      <w:marTop w:val="0"/>
      <w:marBottom w:val="0"/>
      <w:divBdr>
        <w:top w:val="none" w:sz="0" w:space="0" w:color="auto"/>
        <w:left w:val="none" w:sz="0" w:space="0" w:color="auto"/>
        <w:bottom w:val="none" w:sz="0" w:space="0" w:color="auto"/>
        <w:right w:val="none" w:sz="0" w:space="0" w:color="auto"/>
      </w:divBdr>
    </w:div>
    <w:div w:id="475684797">
      <w:bodyDiv w:val="1"/>
      <w:marLeft w:val="0"/>
      <w:marRight w:val="0"/>
      <w:marTop w:val="0"/>
      <w:marBottom w:val="0"/>
      <w:divBdr>
        <w:top w:val="none" w:sz="0" w:space="0" w:color="auto"/>
        <w:left w:val="none" w:sz="0" w:space="0" w:color="auto"/>
        <w:bottom w:val="none" w:sz="0" w:space="0" w:color="auto"/>
        <w:right w:val="none" w:sz="0" w:space="0" w:color="auto"/>
      </w:divBdr>
    </w:div>
    <w:div w:id="492184813">
      <w:bodyDiv w:val="1"/>
      <w:marLeft w:val="0"/>
      <w:marRight w:val="0"/>
      <w:marTop w:val="0"/>
      <w:marBottom w:val="0"/>
      <w:divBdr>
        <w:top w:val="none" w:sz="0" w:space="0" w:color="auto"/>
        <w:left w:val="none" w:sz="0" w:space="0" w:color="auto"/>
        <w:bottom w:val="none" w:sz="0" w:space="0" w:color="auto"/>
        <w:right w:val="none" w:sz="0" w:space="0" w:color="auto"/>
      </w:divBdr>
    </w:div>
    <w:div w:id="571701476">
      <w:bodyDiv w:val="1"/>
      <w:marLeft w:val="0"/>
      <w:marRight w:val="0"/>
      <w:marTop w:val="0"/>
      <w:marBottom w:val="0"/>
      <w:divBdr>
        <w:top w:val="none" w:sz="0" w:space="0" w:color="auto"/>
        <w:left w:val="none" w:sz="0" w:space="0" w:color="auto"/>
        <w:bottom w:val="none" w:sz="0" w:space="0" w:color="auto"/>
        <w:right w:val="none" w:sz="0" w:space="0" w:color="auto"/>
      </w:divBdr>
    </w:div>
    <w:div w:id="579752719">
      <w:bodyDiv w:val="1"/>
      <w:marLeft w:val="0"/>
      <w:marRight w:val="0"/>
      <w:marTop w:val="0"/>
      <w:marBottom w:val="0"/>
      <w:divBdr>
        <w:top w:val="none" w:sz="0" w:space="0" w:color="auto"/>
        <w:left w:val="none" w:sz="0" w:space="0" w:color="auto"/>
        <w:bottom w:val="none" w:sz="0" w:space="0" w:color="auto"/>
        <w:right w:val="none" w:sz="0" w:space="0" w:color="auto"/>
      </w:divBdr>
    </w:div>
    <w:div w:id="586619487">
      <w:bodyDiv w:val="1"/>
      <w:marLeft w:val="0"/>
      <w:marRight w:val="0"/>
      <w:marTop w:val="0"/>
      <w:marBottom w:val="0"/>
      <w:divBdr>
        <w:top w:val="none" w:sz="0" w:space="0" w:color="auto"/>
        <w:left w:val="none" w:sz="0" w:space="0" w:color="auto"/>
        <w:bottom w:val="none" w:sz="0" w:space="0" w:color="auto"/>
        <w:right w:val="none" w:sz="0" w:space="0" w:color="auto"/>
      </w:divBdr>
    </w:div>
    <w:div w:id="623850876">
      <w:bodyDiv w:val="1"/>
      <w:marLeft w:val="0"/>
      <w:marRight w:val="0"/>
      <w:marTop w:val="0"/>
      <w:marBottom w:val="0"/>
      <w:divBdr>
        <w:top w:val="none" w:sz="0" w:space="0" w:color="auto"/>
        <w:left w:val="none" w:sz="0" w:space="0" w:color="auto"/>
        <w:bottom w:val="none" w:sz="0" w:space="0" w:color="auto"/>
        <w:right w:val="none" w:sz="0" w:space="0" w:color="auto"/>
      </w:divBdr>
    </w:div>
    <w:div w:id="666714903">
      <w:bodyDiv w:val="1"/>
      <w:marLeft w:val="0"/>
      <w:marRight w:val="0"/>
      <w:marTop w:val="0"/>
      <w:marBottom w:val="0"/>
      <w:divBdr>
        <w:top w:val="none" w:sz="0" w:space="0" w:color="auto"/>
        <w:left w:val="none" w:sz="0" w:space="0" w:color="auto"/>
        <w:bottom w:val="none" w:sz="0" w:space="0" w:color="auto"/>
        <w:right w:val="none" w:sz="0" w:space="0" w:color="auto"/>
      </w:divBdr>
    </w:div>
    <w:div w:id="676810272">
      <w:bodyDiv w:val="1"/>
      <w:marLeft w:val="0"/>
      <w:marRight w:val="0"/>
      <w:marTop w:val="0"/>
      <w:marBottom w:val="0"/>
      <w:divBdr>
        <w:top w:val="none" w:sz="0" w:space="0" w:color="auto"/>
        <w:left w:val="none" w:sz="0" w:space="0" w:color="auto"/>
        <w:bottom w:val="none" w:sz="0" w:space="0" w:color="auto"/>
        <w:right w:val="none" w:sz="0" w:space="0" w:color="auto"/>
      </w:divBdr>
    </w:div>
    <w:div w:id="743528851">
      <w:bodyDiv w:val="1"/>
      <w:marLeft w:val="0"/>
      <w:marRight w:val="0"/>
      <w:marTop w:val="0"/>
      <w:marBottom w:val="0"/>
      <w:divBdr>
        <w:top w:val="none" w:sz="0" w:space="0" w:color="auto"/>
        <w:left w:val="none" w:sz="0" w:space="0" w:color="auto"/>
        <w:bottom w:val="none" w:sz="0" w:space="0" w:color="auto"/>
        <w:right w:val="none" w:sz="0" w:space="0" w:color="auto"/>
      </w:divBdr>
    </w:div>
    <w:div w:id="817453926">
      <w:bodyDiv w:val="1"/>
      <w:marLeft w:val="0"/>
      <w:marRight w:val="0"/>
      <w:marTop w:val="0"/>
      <w:marBottom w:val="0"/>
      <w:divBdr>
        <w:top w:val="none" w:sz="0" w:space="0" w:color="auto"/>
        <w:left w:val="none" w:sz="0" w:space="0" w:color="auto"/>
        <w:bottom w:val="none" w:sz="0" w:space="0" w:color="auto"/>
        <w:right w:val="none" w:sz="0" w:space="0" w:color="auto"/>
      </w:divBdr>
    </w:div>
    <w:div w:id="922108284">
      <w:bodyDiv w:val="1"/>
      <w:marLeft w:val="0"/>
      <w:marRight w:val="0"/>
      <w:marTop w:val="0"/>
      <w:marBottom w:val="0"/>
      <w:divBdr>
        <w:top w:val="none" w:sz="0" w:space="0" w:color="auto"/>
        <w:left w:val="none" w:sz="0" w:space="0" w:color="auto"/>
        <w:bottom w:val="none" w:sz="0" w:space="0" w:color="auto"/>
        <w:right w:val="none" w:sz="0" w:space="0" w:color="auto"/>
      </w:divBdr>
    </w:div>
    <w:div w:id="984578642">
      <w:bodyDiv w:val="1"/>
      <w:marLeft w:val="0"/>
      <w:marRight w:val="0"/>
      <w:marTop w:val="0"/>
      <w:marBottom w:val="0"/>
      <w:divBdr>
        <w:top w:val="none" w:sz="0" w:space="0" w:color="auto"/>
        <w:left w:val="none" w:sz="0" w:space="0" w:color="auto"/>
        <w:bottom w:val="none" w:sz="0" w:space="0" w:color="auto"/>
        <w:right w:val="none" w:sz="0" w:space="0" w:color="auto"/>
      </w:divBdr>
    </w:div>
    <w:div w:id="1090004207">
      <w:bodyDiv w:val="1"/>
      <w:marLeft w:val="0"/>
      <w:marRight w:val="0"/>
      <w:marTop w:val="0"/>
      <w:marBottom w:val="0"/>
      <w:divBdr>
        <w:top w:val="none" w:sz="0" w:space="0" w:color="auto"/>
        <w:left w:val="none" w:sz="0" w:space="0" w:color="auto"/>
        <w:bottom w:val="none" w:sz="0" w:space="0" w:color="auto"/>
        <w:right w:val="none" w:sz="0" w:space="0" w:color="auto"/>
      </w:divBdr>
    </w:div>
    <w:div w:id="1127092164">
      <w:bodyDiv w:val="1"/>
      <w:marLeft w:val="0"/>
      <w:marRight w:val="0"/>
      <w:marTop w:val="0"/>
      <w:marBottom w:val="0"/>
      <w:divBdr>
        <w:top w:val="none" w:sz="0" w:space="0" w:color="auto"/>
        <w:left w:val="none" w:sz="0" w:space="0" w:color="auto"/>
        <w:bottom w:val="none" w:sz="0" w:space="0" w:color="auto"/>
        <w:right w:val="none" w:sz="0" w:space="0" w:color="auto"/>
      </w:divBdr>
    </w:div>
    <w:div w:id="1138231433">
      <w:bodyDiv w:val="1"/>
      <w:marLeft w:val="0"/>
      <w:marRight w:val="0"/>
      <w:marTop w:val="0"/>
      <w:marBottom w:val="0"/>
      <w:divBdr>
        <w:top w:val="none" w:sz="0" w:space="0" w:color="auto"/>
        <w:left w:val="none" w:sz="0" w:space="0" w:color="auto"/>
        <w:bottom w:val="none" w:sz="0" w:space="0" w:color="auto"/>
        <w:right w:val="none" w:sz="0" w:space="0" w:color="auto"/>
      </w:divBdr>
    </w:div>
    <w:div w:id="1173374425">
      <w:bodyDiv w:val="1"/>
      <w:marLeft w:val="0"/>
      <w:marRight w:val="0"/>
      <w:marTop w:val="0"/>
      <w:marBottom w:val="0"/>
      <w:divBdr>
        <w:top w:val="none" w:sz="0" w:space="0" w:color="auto"/>
        <w:left w:val="none" w:sz="0" w:space="0" w:color="auto"/>
        <w:bottom w:val="none" w:sz="0" w:space="0" w:color="auto"/>
        <w:right w:val="none" w:sz="0" w:space="0" w:color="auto"/>
      </w:divBdr>
    </w:div>
    <w:div w:id="1272975820">
      <w:bodyDiv w:val="1"/>
      <w:marLeft w:val="0"/>
      <w:marRight w:val="0"/>
      <w:marTop w:val="0"/>
      <w:marBottom w:val="0"/>
      <w:divBdr>
        <w:top w:val="none" w:sz="0" w:space="0" w:color="auto"/>
        <w:left w:val="none" w:sz="0" w:space="0" w:color="auto"/>
        <w:bottom w:val="none" w:sz="0" w:space="0" w:color="auto"/>
        <w:right w:val="none" w:sz="0" w:space="0" w:color="auto"/>
      </w:divBdr>
    </w:div>
    <w:div w:id="1291208979">
      <w:bodyDiv w:val="1"/>
      <w:marLeft w:val="0"/>
      <w:marRight w:val="0"/>
      <w:marTop w:val="0"/>
      <w:marBottom w:val="0"/>
      <w:divBdr>
        <w:top w:val="none" w:sz="0" w:space="0" w:color="auto"/>
        <w:left w:val="none" w:sz="0" w:space="0" w:color="auto"/>
        <w:bottom w:val="none" w:sz="0" w:space="0" w:color="auto"/>
        <w:right w:val="none" w:sz="0" w:space="0" w:color="auto"/>
      </w:divBdr>
    </w:div>
    <w:div w:id="1305351003">
      <w:bodyDiv w:val="1"/>
      <w:marLeft w:val="0"/>
      <w:marRight w:val="0"/>
      <w:marTop w:val="0"/>
      <w:marBottom w:val="0"/>
      <w:divBdr>
        <w:top w:val="none" w:sz="0" w:space="0" w:color="auto"/>
        <w:left w:val="none" w:sz="0" w:space="0" w:color="auto"/>
        <w:bottom w:val="none" w:sz="0" w:space="0" w:color="auto"/>
        <w:right w:val="none" w:sz="0" w:space="0" w:color="auto"/>
      </w:divBdr>
    </w:div>
    <w:div w:id="1349211635">
      <w:bodyDiv w:val="1"/>
      <w:marLeft w:val="0"/>
      <w:marRight w:val="0"/>
      <w:marTop w:val="0"/>
      <w:marBottom w:val="0"/>
      <w:divBdr>
        <w:top w:val="none" w:sz="0" w:space="0" w:color="auto"/>
        <w:left w:val="none" w:sz="0" w:space="0" w:color="auto"/>
        <w:bottom w:val="none" w:sz="0" w:space="0" w:color="auto"/>
        <w:right w:val="none" w:sz="0" w:space="0" w:color="auto"/>
      </w:divBdr>
    </w:div>
    <w:div w:id="1437483447">
      <w:bodyDiv w:val="1"/>
      <w:marLeft w:val="0"/>
      <w:marRight w:val="0"/>
      <w:marTop w:val="0"/>
      <w:marBottom w:val="0"/>
      <w:divBdr>
        <w:top w:val="none" w:sz="0" w:space="0" w:color="auto"/>
        <w:left w:val="none" w:sz="0" w:space="0" w:color="auto"/>
        <w:bottom w:val="none" w:sz="0" w:space="0" w:color="auto"/>
        <w:right w:val="none" w:sz="0" w:space="0" w:color="auto"/>
      </w:divBdr>
    </w:div>
    <w:div w:id="1474642545">
      <w:bodyDiv w:val="1"/>
      <w:marLeft w:val="0"/>
      <w:marRight w:val="0"/>
      <w:marTop w:val="0"/>
      <w:marBottom w:val="0"/>
      <w:divBdr>
        <w:top w:val="none" w:sz="0" w:space="0" w:color="auto"/>
        <w:left w:val="none" w:sz="0" w:space="0" w:color="auto"/>
        <w:bottom w:val="none" w:sz="0" w:space="0" w:color="auto"/>
        <w:right w:val="none" w:sz="0" w:space="0" w:color="auto"/>
      </w:divBdr>
    </w:div>
    <w:div w:id="1497377312">
      <w:bodyDiv w:val="1"/>
      <w:marLeft w:val="0"/>
      <w:marRight w:val="0"/>
      <w:marTop w:val="0"/>
      <w:marBottom w:val="0"/>
      <w:divBdr>
        <w:top w:val="none" w:sz="0" w:space="0" w:color="auto"/>
        <w:left w:val="none" w:sz="0" w:space="0" w:color="auto"/>
        <w:bottom w:val="none" w:sz="0" w:space="0" w:color="auto"/>
        <w:right w:val="none" w:sz="0" w:space="0" w:color="auto"/>
      </w:divBdr>
    </w:div>
    <w:div w:id="1567645175">
      <w:bodyDiv w:val="1"/>
      <w:marLeft w:val="0"/>
      <w:marRight w:val="0"/>
      <w:marTop w:val="0"/>
      <w:marBottom w:val="0"/>
      <w:divBdr>
        <w:top w:val="none" w:sz="0" w:space="0" w:color="auto"/>
        <w:left w:val="none" w:sz="0" w:space="0" w:color="auto"/>
        <w:bottom w:val="none" w:sz="0" w:space="0" w:color="auto"/>
        <w:right w:val="none" w:sz="0" w:space="0" w:color="auto"/>
      </w:divBdr>
    </w:div>
    <w:div w:id="1627471598">
      <w:bodyDiv w:val="1"/>
      <w:marLeft w:val="0"/>
      <w:marRight w:val="0"/>
      <w:marTop w:val="0"/>
      <w:marBottom w:val="0"/>
      <w:divBdr>
        <w:top w:val="none" w:sz="0" w:space="0" w:color="auto"/>
        <w:left w:val="none" w:sz="0" w:space="0" w:color="auto"/>
        <w:bottom w:val="none" w:sz="0" w:space="0" w:color="auto"/>
        <w:right w:val="none" w:sz="0" w:space="0" w:color="auto"/>
      </w:divBdr>
    </w:div>
    <w:div w:id="1747654651">
      <w:bodyDiv w:val="1"/>
      <w:marLeft w:val="0"/>
      <w:marRight w:val="0"/>
      <w:marTop w:val="0"/>
      <w:marBottom w:val="0"/>
      <w:divBdr>
        <w:top w:val="none" w:sz="0" w:space="0" w:color="auto"/>
        <w:left w:val="none" w:sz="0" w:space="0" w:color="auto"/>
        <w:bottom w:val="none" w:sz="0" w:space="0" w:color="auto"/>
        <w:right w:val="none" w:sz="0" w:space="0" w:color="auto"/>
      </w:divBdr>
    </w:div>
    <w:div w:id="1819685604">
      <w:bodyDiv w:val="1"/>
      <w:marLeft w:val="0"/>
      <w:marRight w:val="0"/>
      <w:marTop w:val="0"/>
      <w:marBottom w:val="0"/>
      <w:divBdr>
        <w:top w:val="none" w:sz="0" w:space="0" w:color="auto"/>
        <w:left w:val="none" w:sz="0" w:space="0" w:color="auto"/>
        <w:bottom w:val="none" w:sz="0" w:space="0" w:color="auto"/>
        <w:right w:val="none" w:sz="0" w:space="0" w:color="auto"/>
      </w:divBdr>
    </w:div>
    <w:div w:id="1868827991">
      <w:bodyDiv w:val="1"/>
      <w:marLeft w:val="0"/>
      <w:marRight w:val="0"/>
      <w:marTop w:val="0"/>
      <w:marBottom w:val="0"/>
      <w:divBdr>
        <w:top w:val="none" w:sz="0" w:space="0" w:color="auto"/>
        <w:left w:val="none" w:sz="0" w:space="0" w:color="auto"/>
        <w:bottom w:val="none" w:sz="0" w:space="0" w:color="auto"/>
        <w:right w:val="none" w:sz="0" w:space="0" w:color="auto"/>
      </w:divBdr>
    </w:div>
    <w:div w:id="1932276983">
      <w:bodyDiv w:val="1"/>
      <w:marLeft w:val="0"/>
      <w:marRight w:val="0"/>
      <w:marTop w:val="0"/>
      <w:marBottom w:val="0"/>
      <w:divBdr>
        <w:top w:val="none" w:sz="0" w:space="0" w:color="auto"/>
        <w:left w:val="none" w:sz="0" w:space="0" w:color="auto"/>
        <w:bottom w:val="none" w:sz="0" w:space="0" w:color="auto"/>
        <w:right w:val="none" w:sz="0" w:space="0" w:color="auto"/>
      </w:divBdr>
    </w:div>
    <w:div w:id="1960602685">
      <w:bodyDiv w:val="1"/>
      <w:marLeft w:val="0"/>
      <w:marRight w:val="0"/>
      <w:marTop w:val="0"/>
      <w:marBottom w:val="0"/>
      <w:divBdr>
        <w:top w:val="none" w:sz="0" w:space="0" w:color="auto"/>
        <w:left w:val="none" w:sz="0" w:space="0" w:color="auto"/>
        <w:bottom w:val="none" w:sz="0" w:space="0" w:color="auto"/>
        <w:right w:val="none" w:sz="0" w:space="0" w:color="auto"/>
      </w:divBdr>
    </w:div>
    <w:div w:id="2000962671">
      <w:bodyDiv w:val="1"/>
      <w:marLeft w:val="0"/>
      <w:marRight w:val="0"/>
      <w:marTop w:val="0"/>
      <w:marBottom w:val="0"/>
      <w:divBdr>
        <w:top w:val="none" w:sz="0" w:space="0" w:color="auto"/>
        <w:left w:val="none" w:sz="0" w:space="0" w:color="auto"/>
        <w:bottom w:val="none" w:sz="0" w:space="0" w:color="auto"/>
        <w:right w:val="none" w:sz="0" w:space="0" w:color="auto"/>
      </w:divBdr>
    </w:div>
    <w:div w:id="2028095307">
      <w:bodyDiv w:val="1"/>
      <w:marLeft w:val="0"/>
      <w:marRight w:val="0"/>
      <w:marTop w:val="0"/>
      <w:marBottom w:val="0"/>
      <w:divBdr>
        <w:top w:val="none" w:sz="0" w:space="0" w:color="auto"/>
        <w:left w:val="none" w:sz="0" w:space="0" w:color="auto"/>
        <w:bottom w:val="none" w:sz="0" w:space="0" w:color="auto"/>
        <w:right w:val="none" w:sz="0" w:space="0" w:color="auto"/>
      </w:divBdr>
    </w:div>
    <w:div w:id="2032760523">
      <w:bodyDiv w:val="1"/>
      <w:marLeft w:val="0"/>
      <w:marRight w:val="0"/>
      <w:marTop w:val="0"/>
      <w:marBottom w:val="0"/>
      <w:divBdr>
        <w:top w:val="none" w:sz="0" w:space="0" w:color="auto"/>
        <w:left w:val="none" w:sz="0" w:space="0" w:color="auto"/>
        <w:bottom w:val="none" w:sz="0" w:space="0" w:color="auto"/>
        <w:right w:val="none" w:sz="0" w:space="0" w:color="auto"/>
      </w:divBdr>
    </w:div>
    <w:div w:id="2101681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calonline.hu/tudomany/cikk/vorosisza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Mic</b:Tag>
    <b:SourceType>ElectronicSource</b:SourceType>
    <b:Guid>{640CE595-0341-4A40-BAC4-00D4871A0277}</b:Guid>
    <b:Author>
      <b:Author>
        <b:Corporate>Microsoft Windows</b:Corporate>
      </b:Author>
    </b:Author>
    <b:Title>MS Word Hivatkozások / Irodalomjegyzék / IEEE</b:Title>
    <b:RefOrder>3</b:RefOrder>
  </b:Source>
  <b:Source>
    <b:Tag>IEE20</b:Tag>
    <b:SourceType>ElectronicSource</b:SourceType>
    <b:Guid>{E619BC0D-8605-41BB-B0B1-957A30A71E97}</b:Guid>
    <b:Author>
      <b:Author>
        <b:Corporate>IEEE Publishing Operations</b:Corporate>
      </b:Author>
    </b:Author>
    <b:Title>IEEE Reference Guide</b:Title>
    <b:City>NJ, Piscataway USA</b:City>
    <b:Publisher>Institute of Electrical and Electronics Engineers</b:Publisher>
    <b:Year>2020</b:Year>
    <b:URL>http://journals.ieeeauthorcenter.ieee.org/wp-content/uploads/sites/7/IEEE_Reference_Guide.pdf</b:URL>
    <b:RefOrder>4</b:RefOrder>
  </b:Source>
  <b:Source>
    <b:Tag>Aut23</b:Tag>
    <b:SourceType>ElectronicSource</b:SourceType>
    <b:Guid>{DFBE7BFA-98D1-4280-8093-65170FE35D22}</b:Guid>
    <b:Author>
      <b:Author>
        <b:Corporate>Author Center</b:Corporate>
      </b:Author>
    </b:Author>
    <b:Title>IEEE Editorial Style manual</b:Title>
    <b:City>US</b:City>
    <b:Publisher>Institute of Electrical and Electronics Engineers</b:Publisher>
    <b:Year>2023</b:Year>
    <b:URL>https://journals.ieeeauthorcenter.ieee.org/your-role-in-article-production/ieee-editorial-style-manual/</b:URL>
    <b:RefOrder>5</b:RefOrder>
  </b:Source>
  <b:Source>
    <b:Tag>Kat22</b:Tag>
    <b:SourceType>ElectronicSource</b:SourceType>
    <b:Guid>{B863F5FE-0F25-46E4-9C3C-6F13DFC8EBE2}</b:Guid>
    <b:Author>
      <b:Author>
        <b:Corporate>Katasztrófavédelmi Tudományos Tanács</b:Corporate>
      </b:Author>
    </b:Author>
    <b:Title>A Katasztrófavédelmi Tudományos Tanács hivatalos logója</b:Title>
    <b:City>Budapest</b:City>
    <b:Publisher>Országos Katasztrófavédelmi Főigazgatóság</b:Publisher>
    <b:Year>2022</b:Year>
    <b:URL>https://images.app.goo.gl/4v2S7CZCv7ofQgRd9</b:URL>
    <b:RefOrder>6</b:RefOrder>
  </b:Source>
  <b:Source>
    <b:Tag>Eur</b:Tag>
    <b:SourceType>ElectronicSource</b:SourceType>
    <b:Guid>{ABE89E5A-7217-4163-89F8-62FA58ADDA64}</b:Guid>
    <b:Title>Civil Protection Knowledge Network</b:Title>
    <b:City>Brüsszel</b:City>
    <b:Author>
      <b:Author>
        <b:Corporate>European Union</b:Corporate>
      </b:Author>
    </b:Author>
    <b:YearAccessed>2023</b:YearAccessed>
    <b:MonthAccessed>07</b:MonthAccessed>
    <b:DayAccessed>28</b:DayAccessed>
    <b:URL>https://civil-protection-knowledge-network.europa.eu/system/files/2022-07/UCPKN%20General%20Factsheet%20%28HU%29.pdf </b:URL>
    <b:RefOrder>1</b:RefOrder>
  </b:Source>
  <b:Source>
    <b:Tag>Mee</b:Tag>
    <b:SourceType>ElectronicSource</b:SourceType>
    <b:Guid>{D09EBB5A-827A-4DA9-87BE-91EA0F19B13D}</b:Guid>
    <b:Author>
      <b:Author>
        <b:Corporate>Meeting</b:Corporate>
      </b:Author>
    </b:Author>
    <b:Title>Presentation from the 4th plenary session of the Civil Protection Network</b:Title>
    <b:RefOrder>2</b:RefOrder>
  </b:Source>
</b:Sources>
</file>

<file path=customXml/itemProps1.xml><?xml version="1.0" encoding="utf-8"?>
<ds:datastoreItem xmlns:ds="http://schemas.openxmlformats.org/officeDocument/2006/customXml" ds:itemID="{D008F17B-2276-4CEB-8C4D-B5DF3C720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1371</Words>
  <Characters>9558</Characters>
  <Application>Microsoft Office Word</Application>
  <DocSecurity>0</DocSecurity>
  <Lines>149</Lines>
  <Paragraphs>42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Tamás Hábermayer</dc:creator>
  <cp:keywords/>
  <dc:description/>
  <cp:lastModifiedBy>Dr. Hábermayer Tamás</cp:lastModifiedBy>
  <cp:revision>4</cp:revision>
  <cp:lastPrinted>2023-10-23T13:55:00Z</cp:lastPrinted>
  <dcterms:created xsi:type="dcterms:W3CDTF">2024-10-07T08:57:00Z</dcterms:created>
  <dcterms:modified xsi:type="dcterms:W3CDTF">2024-10-07T09:02:00Z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573322e4a89c2cf2af1e7af6e96b8a1d149c1e2d06630ab2b5a6ca6ac11c5f10</vt:lpwstr>
  </property>
</Properties>
</file>