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87F5D" w14:textId="77777777" w:rsidR="009C0DD0" w:rsidRPr="009C0DD0" w:rsidRDefault="00A363A3" w:rsidP="00C343F9">
      <w:pPr>
        <w:pBdr>
          <w:top w:val="single" w:sz="4" w:space="1" w:color="auto"/>
        </w:pBdr>
        <w:spacing w:line="360" w:lineRule="auto"/>
        <w:rPr>
          <w:rFonts w:ascii="Calibri" w:hAnsi="Calibri"/>
          <w:b w:val="0"/>
          <w:i w:val="0"/>
        </w:rPr>
      </w:pPr>
      <w:r>
        <w:rPr>
          <w:rFonts w:ascii="Calibri" w:hAnsi="Calibri"/>
          <w:i w:val="0"/>
        </w:rPr>
        <w:t>Iparbiztonságtan 1-3.</w:t>
      </w:r>
    </w:p>
    <w:p w14:paraId="3E6AD8EB" w14:textId="77777777" w:rsidR="009C0DD0" w:rsidRPr="00AE605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sz w:val="24"/>
          <w:szCs w:val="24"/>
        </w:rPr>
        <w:t>Magyarország iparbiztonsági veszélyeztetettsége. Veszélyes ipari tevékenységek csoportosítása és jellemzői</w:t>
      </w:r>
      <w:r w:rsidR="00A363A3" w:rsidRPr="00AE605A">
        <w:rPr>
          <w:rFonts w:ascii="Times New Roman" w:hAnsi="Times New Roman"/>
          <w:bCs/>
          <w:sz w:val="24"/>
          <w:szCs w:val="24"/>
        </w:rPr>
        <w:t>.</w:t>
      </w:r>
    </w:p>
    <w:p w14:paraId="241089D0" w14:textId="77777777"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14:paraId="2983AD42" w14:textId="77777777" w:rsidR="009C0DD0" w:rsidRPr="00AE605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sz w:val="24"/>
          <w:szCs w:val="24"/>
        </w:rPr>
        <w:t>Iparbiztonság szakterületei, szervezete és eljárásrendszere, üzemeltetői, hatósági és önkormányzati iparbiztonsági feladatok, megelőzési, felkészülési és baleset-elhárítási intézkedések rendszere</w:t>
      </w:r>
      <w:r w:rsidR="00A363A3" w:rsidRPr="00AE605A">
        <w:rPr>
          <w:rFonts w:ascii="Times New Roman" w:hAnsi="Times New Roman"/>
          <w:bCs/>
          <w:sz w:val="24"/>
          <w:szCs w:val="24"/>
        </w:rPr>
        <w:t>.</w:t>
      </w:r>
    </w:p>
    <w:p w14:paraId="3B9A7566" w14:textId="77777777"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14:paraId="2F969B47" w14:textId="77777777" w:rsidR="009C0DD0" w:rsidRPr="00AE605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sz w:val="24"/>
          <w:szCs w:val="24"/>
        </w:rPr>
        <w:t>Veszélyes anyagok és üzemek azonosításához kapcsolódó hatósági engedélyezési, felügyeleti és ellenőrzési tevékenység módszertana és eljárása</w:t>
      </w:r>
      <w:r w:rsidR="00A363A3" w:rsidRPr="00AE605A">
        <w:rPr>
          <w:rFonts w:ascii="Times New Roman" w:hAnsi="Times New Roman"/>
          <w:bCs/>
          <w:sz w:val="24"/>
          <w:szCs w:val="24"/>
        </w:rPr>
        <w:t>.</w:t>
      </w:r>
    </w:p>
    <w:p w14:paraId="3FCFC8BC" w14:textId="77777777"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14:paraId="2154BB40" w14:textId="77777777" w:rsidR="009C0DD0" w:rsidRPr="00AE605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sz w:val="24"/>
          <w:szCs w:val="24"/>
        </w:rPr>
        <w:t>Veszélyes anyagokkal foglalkozó és küszöbérték alatti üzemek azonosítása, kapcsolódó hatósági engedélyezési, felügyeleti és ellenőrzési tevékenység módszertana és eljárása</w:t>
      </w:r>
      <w:r w:rsidR="00F8120C" w:rsidRPr="00AE605A">
        <w:rPr>
          <w:rFonts w:ascii="Times New Roman" w:hAnsi="Times New Roman"/>
          <w:bCs/>
          <w:sz w:val="24"/>
          <w:szCs w:val="24"/>
        </w:rPr>
        <w:t>.</w:t>
      </w:r>
    </w:p>
    <w:p w14:paraId="4AA04FC1" w14:textId="77777777"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14:paraId="03208039" w14:textId="77777777" w:rsidR="009C0DD0" w:rsidRPr="00AE605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sz w:val="24"/>
          <w:szCs w:val="24"/>
        </w:rPr>
        <w:t>A veszélyes üzemek biztonsági irányítási rendszere, üzemspecifikus sajátosságok (ipari és közlekedési ágazatonként bemutatva), a tevékenységhez kapcsolódó hatósági engedélyezési, felügyeleti és ellenőrzési tevékenység módszertana és eljárása</w:t>
      </w:r>
      <w:r w:rsidR="00F8120C" w:rsidRPr="00AE605A">
        <w:rPr>
          <w:rFonts w:ascii="Times New Roman" w:hAnsi="Times New Roman"/>
          <w:bCs/>
          <w:sz w:val="24"/>
          <w:szCs w:val="24"/>
        </w:rPr>
        <w:t>.</w:t>
      </w:r>
    </w:p>
    <w:p w14:paraId="10E3CDC5" w14:textId="77777777"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14:paraId="0E59C7DA" w14:textId="77777777" w:rsidR="009C0DD0" w:rsidRPr="00AE605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sz w:val="24"/>
          <w:szCs w:val="24"/>
        </w:rPr>
        <w:t>A veszélyes anyagokkal kapcsolatos súlyos balesetek elleni védekezés nemzetközi, EU és hazai szabályozás tartalma, az EU és nemzetközi szervezetek tevékenysége</w:t>
      </w:r>
      <w:r w:rsidR="00F8120C" w:rsidRPr="00AE605A">
        <w:rPr>
          <w:rFonts w:ascii="Times New Roman" w:hAnsi="Times New Roman"/>
          <w:bCs/>
          <w:sz w:val="24"/>
          <w:szCs w:val="24"/>
        </w:rPr>
        <w:t>.</w:t>
      </w:r>
    </w:p>
    <w:p w14:paraId="2554B30A" w14:textId="77777777"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14:paraId="3D654CFE" w14:textId="77777777" w:rsidR="009C0DD0" w:rsidRPr="00F8120C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sz w:val="24"/>
          <w:szCs w:val="24"/>
        </w:rPr>
        <w:t>Üzemeltetői kötelezettségek teljesítése, a biztonsági jelentés és elemzés, illetve a súlyos káresemény-elhárítási terv tartalmi és formai követelményei. Biztonsági dokumentáció hatósági ellenőrzésével kapcsolatos feladatok, vizsgálati műszaki kritériumok</w:t>
      </w:r>
      <w:r w:rsidR="00F8120C">
        <w:rPr>
          <w:rFonts w:ascii="Times New Roman" w:hAnsi="Times New Roman"/>
          <w:bCs/>
          <w:sz w:val="24"/>
          <w:szCs w:val="24"/>
        </w:rPr>
        <w:t>.</w:t>
      </w:r>
    </w:p>
    <w:p w14:paraId="72477540" w14:textId="77777777"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14:paraId="3A6A154E" w14:textId="77777777" w:rsidR="009C0DD0" w:rsidRPr="00AE605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sz w:val="24"/>
          <w:szCs w:val="24"/>
        </w:rPr>
        <w:t>Lakossági tájékoztatási és nyilvánosság biztosításával kapcsolatos iparbiztonsági feladatok és eljárások, lakossági tájékoztató kiadvány elkészítése</w:t>
      </w:r>
      <w:r w:rsidR="00F8120C" w:rsidRPr="00AE605A">
        <w:rPr>
          <w:rFonts w:ascii="Times New Roman" w:hAnsi="Times New Roman"/>
          <w:bCs/>
          <w:sz w:val="24"/>
          <w:szCs w:val="24"/>
        </w:rPr>
        <w:t>.</w:t>
      </w:r>
    </w:p>
    <w:p w14:paraId="12C03152" w14:textId="77777777"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14:paraId="7230E469" w14:textId="258CF3B3" w:rsidR="009C0DD0" w:rsidRPr="00AE605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sz w:val="24"/>
          <w:szCs w:val="24"/>
        </w:rPr>
        <w:t xml:space="preserve">Veszélyes anyagokkal kapcsolatos </w:t>
      </w:r>
      <w:r w:rsidR="00465B40">
        <w:rPr>
          <w:rFonts w:ascii="Times New Roman" w:hAnsi="Times New Roman"/>
          <w:sz w:val="24"/>
          <w:szCs w:val="24"/>
        </w:rPr>
        <w:t>esemény</w:t>
      </w:r>
      <w:r w:rsidRPr="00AE605A">
        <w:rPr>
          <w:rFonts w:ascii="Times New Roman" w:hAnsi="Times New Roman"/>
          <w:sz w:val="24"/>
          <w:szCs w:val="24"/>
        </w:rPr>
        <w:t xml:space="preserve"> és baleseti jelentési, tájékoztatási, illetve vizsgálati feladatok</w:t>
      </w:r>
    </w:p>
    <w:p w14:paraId="58B7973D" w14:textId="77777777"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14:paraId="1631EC2F" w14:textId="77777777" w:rsidR="009C0DD0" w:rsidRPr="00AE605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sz w:val="24"/>
          <w:szCs w:val="24"/>
        </w:rPr>
        <w:t>Veszélyes üzemekkel kapcsolatos szankciórendszer és annak alkalmazása</w:t>
      </w:r>
      <w:r w:rsidR="00F8120C" w:rsidRPr="00AE605A">
        <w:rPr>
          <w:rFonts w:ascii="Times New Roman" w:hAnsi="Times New Roman"/>
          <w:bCs/>
          <w:sz w:val="24"/>
          <w:szCs w:val="24"/>
        </w:rPr>
        <w:t>.</w:t>
      </w:r>
    </w:p>
    <w:p w14:paraId="143E8591" w14:textId="77777777"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14:paraId="3D96D1E2" w14:textId="77777777" w:rsidR="009C0DD0" w:rsidRPr="00AE605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sz w:val="24"/>
          <w:szCs w:val="24"/>
        </w:rPr>
        <w:t>Veszélyeztetettség elemzési eljárás a veszélyes anyaggal, áruval és hulladékkal foglalkozó üzemekben, műszaki követelmények és hatósági eljárási rend</w:t>
      </w:r>
      <w:r w:rsidR="00F8120C" w:rsidRPr="00AE605A">
        <w:rPr>
          <w:rFonts w:ascii="Times New Roman" w:hAnsi="Times New Roman"/>
          <w:bCs/>
          <w:sz w:val="24"/>
          <w:szCs w:val="24"/>
        </w:rPr>
        <w:t>.</w:t>
      </w:r>
    </w:p>
    <w:p w14:paraId="5DFEAC82" w14:textId="77777777" w:rsidR="00C343F9" w:rsidRDefault="00C343F9">
      <w:pPr>
        <w:overflowPunct/>
        <w:autoSpaceDE/>
        <w:autoSpaceDN/>
        <w:adjustRightInd/>
        <w:textAlignment w:val="auto"/>
        <w:rPr>
          <w:rFonts w:ascii="Calibri" w:hAnsi="Calibri"/>
          <w:i w:val="0"/>
          <w:szCs w:val="24"/>
          <w:lang w:eastAsia="en-US"/>
        </w:rPr>
      </w:pPr>
      <w:r>
        <w:rPr>
          <w:b w:val="0"/>
          <w:szCs w:val="24"/>
        </w:rPr>
        <w:br w:type="page"/>
      </w:r>
    </w:p>
    <w:p w14:paraId="0E2CD62A" w14:textId="77777777"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lastRenderedPageBreak/>
        <w:t>Iparbiztonságtan 1-3.</w:t>
      </w:r>
    </w:p>
    <w:p w14:paraId="6920C20D" w14:textId="77777777"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Veszélyforrás-elemzések, a nemzetközileg elfogadott elemzési módszerek és eljárások módszertani ismertetése</w:t>
      </w:r>
      <w:r w:rsidR="00A363A3" w:rsidRPr="0053553A">
        <w:rPr>
          <w:rFonts w:ascii="Times New Roman" w:hAnsi="Times New Roman"/>
          <w:bCs/>
          <w:sz w:val="24"/>
          <w:szCs w:val="24"/>
        </w:rPr>
        <w:t>.</w:t>
      </w:r>
    </w:p>
    <w:p w14:paraId="28C160CA" w14:textId="77777777"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14:paraId="1DAAE6B9" w14:textId="77777777"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Veszélyes anyagokkal kapcsolatos súlyos baleseti események azonosítása, bekövetkezési gyakoriságának meghatározása és rangsorolása, adatbázisok és módszertani kiadványok alkalmazása, súlyos baleseti minta eseménysorok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</w:p>
    <w:p w14:paraId="406209AB" w14:textId="77777777"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14:paraId="0C19C362" w14:textId="77777777"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Kockázatelemzés, egyéni és társadalmi kockázatok meghatározása, kockázat- és következmény-csökkentő műszaki, szervezési és vezetési intézkedések hatósági előírása és üzemeltetői bevezetése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  <w:r w:rsidR="009C0DD0" w:rsidRPr="0053553A">
        <w:rPr>
          <w:rFonts w:ascii="Times New Roman" w:hAnsi="Times New Roman"/>
          <w:sz w:val="24"/>
          <w:szCs w:val="24"/>
        </w:rPr>
        <w:t xml:space="preserve">    </w:t>
      </w:r>
    </w:p>
    <w:p w14:paraId="53694D68" w14:textId="77777777"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14:paraId="09CB8193" w14:textId="77777777"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Veszélyességi övezet kijelölése, a településrendezési tervezés rendszere és tartalma, a településszerkezeti terv, a kapcsolódó hatósági engedélyezési, felügyeleti és ellenőrzési tevékenység módszertana és eljárása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</w:p>
    <w:p w14:paraId="5F36A25E" w14:textId="77777777"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14:paraId="4DFFD24E" w14:textId="77777777"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Veszélyes tevékenységekkel kapcsolatos biztonsági szakterületek (környezetvédelmi, műszaki biztonsági, bányászati, energetikai, munkavédelmi, közegészségügyi szakterületek) szabályozási rendszere, hatóságok szervezete és feladatrendszere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</w:p>
    <w:p w14:paraId="6A33D239" w14:textId="77777777"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14:paraId="6114D761" w14:textId="77777777"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Veszélyes katonai objektumokat érintő szabályozás, üzemeltetői feladatok, hatósági szervezet és feladatrendszer, hatáskörök és feladatok végrehajtása, a katasztrófavédelmi szervek feladatai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</w:p>
    <w:p w14:paraId="77979C0C" w14:textId="77777777"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14:paraId="0E4A6336" w14:textId="77777777" w:rsidR="00F8120C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A katasztrófavédelem ipar-felügyeleti feladatai, hatósági adatok gyűjtése, megosztása, közös (supervisori) ellenőrzések szervezése, katasztrófavédelem iparfelügyeleti feladat és</w:t>
      </w:r>
      <w:r w:rsidRPr="00AE605A">
        <w:rPr>
          <w:rFonts w:ascii="Times New Roman" w:hAnsi="Times New Roman"/>
          <w:sz w:val="24"/>
          <w:szCs w:val="24"/>
        </w:rPr>
        <w:t xml:space="preserve"> </w:t>
      </w:r>
      <w:r w:rsidRPr="0053553A">
        <w:rPr>
          <w:rFonts w:ascii="Times New Roman" w:hAnsi="Times New Roman"/>
          <w:sz w:val="24"/>
          <w:szCs w:val="24"/>
        </w:rPr>
        <w:t>hatásköreinek érvényesítése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</w:p>
    <w:p w14:paraId="56CCC2FE" w14:textId="77777777"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14:paraId="086162D8" w14:textId="77777777"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A katasztrófavédelem vízügyi és vízvédelmi hatósági feladatainak és jogosítványainak átfogó ismertetése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</w:p>
    <w:p w14:paraId="1B19A068" w14:textId="77777777"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14:paraId="412B8881" w14:textId="77777777"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Nukleáris biztonsági és sugárvédelmi nemzetközi és hazai szabályozás alapjai. Üzemeltetői feladatok, hatósági szervezet ismertetése és a feladatrendszer, a hatáskörök és a feladatok végrehajtása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</w:p>
    <w:p w14:paraId="3E2084B8" w14:textId="77777777" w:rsidR="009C0DD0" w:rsidRPr="00AE605A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b/>
          <w:sz w:val="24"/>
          <w:szCs w:val="24"/>
        </w:rPr>
        <w:t>Iparbiztonságtan 1-3.</w:t>
      </w:r>
    </w:p>
    <w:p w14:paraId="0090681B" w14:textId="77777777"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Nukleáris létesítmények ismertetése, az ezzel kapcsolatos veszélyek, és kockázatok felsorolása és azok kezelése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</w:p>
    <w:p w14:paraId="3EF67E71" w14:textId="77777777"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14:paraId="115D9C75" w14:textId="77777777"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Nukleáris és radiológiai kibocsátások- és azok környezetellenőrző rendszereinek ismertetése.  Országos korai riasztási rendszerek tulajdonságai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</w:p>
    <w:p w14:paraId="4F47E68E" w14:textId="77777777"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14:paraId="1464BC51" w14:textId="77777777"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Országos nukleáris balesetelhárítási rendszer felépítése, működtetése, a nukleárisbaleset-elhárítási tervezés rendszere, és technikai eszközrendszere, Katasztrófavédelmi Sugárvédelmi Egységek képességei és alkalmazása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</w:p>
    <w:p w14:paraId="77992406" w14:textId="77777777"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lastRenderedPageBreak/>
        <w:t>Iparbiztonságtan 1-3.</w:t>
      </w:r>
    </w:p>
    <w:p w14:paraId="4907E7A6" w14:textId="77777777"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Nukleáris és radiológiai biztonsággal kapcsolatos katasztrófavédelmi feladatok ismertetése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</w:p>
    <w:p w14:paraId="4F4EB3AE" w14:textId="77777777" w:rsidR="009C0DD0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14:paraId="194FF507" w14:textId="77777777" w:rsidR="009855B6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A sugárvédelem alapelvei, a megelőzés, tervezés feladatai a nukleáris baleset bekövetkezése esetén</w:t>
      </w:r>
      <w:r w:rsidR="009C0DD0" w:rsidRPr="0053553A">
        <w:rPr>
          <w:rFonts w:ascii="Times New Roman" w:hAnsi="Times New Roman"/>
          <w:sz w:val="24"/>
          <w:szCs w:val="24"/>
        </w:rPr>
        <w:t>.</w:t>
      </w:r>
      <w:r w:rsidR="009855B6" w:rsidRPr="0053553A">
        <w:rPr>
          <w:rFonts w:ascii="Times New Roman" w:hAnsi="Times New Roman"/>
          <w:sz w:val="24"/>
          <w:szCs w:val="24"/>
        </w:rPr>
        <w:t xml:space="preserve"> </w:t>
      </w:r>
    </w:p>
    <w:p w14:paraId="2B77C6B7" w14:textId="77777777" w:rsidR="00F65D5D" w:rsidRPr="009C0DD0" w:rsidRDefault="00F65D5D" w:rsidP="00A44416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sectPr w:rsidR="00F65D5D" w:rsidRPr="009C0DD0" w:rsidSect="002F4C89">
      <w:headerReference w:type="even" r:id="rId8"/>
      <w:head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EE33F" w14:textId="77777777" w:rsidR="002F4C89" w:rsidRDefault="002F4C89">
      <w:r>
        <w:separator/>
      </w:r>
    </w:p>
  </w:endnote>
  <w:endnote w:type="continuationSeparator" w:id="0">
    <w:p w14:paraId="57892526" w14:textId="77777777" w:rsidR="002F4C89" w:rsidRDefault="002F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41311" w14:textId="77777777" w:rsidR="002F4C89" w:rsidRDefault="002F4C89">
      <w:r>
        <w:separator/>
      </w:r>
    </w:p>
  </w:footnote>
  <w:footnote w:type="continuationSeparator" w:id="0">
    <w:p w14:paraId="4D5BB71E" w14:textId="77777777" w:rsidR="002F4C89" w:rsidRDefault="002F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7C57" w14:textId="77777777" w:rsidR="00F65D5D" w:rsidRDefault="00F322B7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B9AFC7B" w14:textId="77777777" w:rsidR="00F65D5D" w:rsidRDefault="00F65D5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B05B" w14:textId="77777777" w:rsidR="00F65D5D" w:rsidRDefault="00F322B7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C4EE4">
      <w:rPr>
        <w:rStyle w:val="Oldalszm"/>
        <w:noProof/>
      </w:rPr>
      <w:t>3</w:t>
    </w:r>
    <w:r>
      <w:rPr>
        <w:rStyle w:val="Oldalszm"/>
      </w:rPr>
      <w:fldChar w:fldCharType="end"/>
    </w:r>
  </w:p>
  <w:p w14:paraId="4C197C1C" w14:textId="77777777" w:rsidR="00F65D5D" w:rsidRDefault="00F65D5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EA10" w14:textId="77777777" w:rsidR="005C1059" w:rsidRPr="00F65D5D" w:rsidRDefault="005C1059" w:rsidP="005C105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>NEMZETI KÖZSZOLGÁLATI EGYETEM</w:t>
    </w:r>
  </w:p>
  <w:p w14:paraId="3F0F35AA" w14:textId="77777777" w:rsidR="005C1059" w:rsidRPr="00F65D5D" w:rsidRDefault="005C1059" w:rsidP="005C1059">
    <w:pPr>
      <w:rPr>
        <w:rFonts w:ascii="Times New Roman" w:hAnsi="Times New Roman"/>
        <w:i w:val="0"/>
        <w:szCs w:val="24"/>
      </w:rPr>
    </w:pPr>
    <w:r>
      <w:rPr>
        <w:rFonts w:ascii="Times New Roman" w:hAnsi="Times New Roman"/>
        <w:i w:val="0"/>
        <w:szCs w:val="24"/>
      </w:rPr>
      <w:t xml:space="preserve">             Rendészettudományi Kar</w:t>
    </w:r>
    <w:r>
      <w:rPr>
        <w:rFonts w:ascii="Times New Roman" w:hAnsi="Times New Roman"/>
        <w:i w:val="0"/>
        <w:szCs w:val="24"/>
      </w:rPr>
      <w:br/>
    </w:r>
    <w:r w:rsidRPr="00F65D5D">
      <w:rPr>
        <w:rFonts w:ascii="Times New Roman" w:hAnsi="Times New Roman"/>
        <w:i w:val="0"/>
        <w:szCs w:val="24"/>
      </w:rPr>
      <w:t xml:space="preserve">  </w:t>
    </w:r>
    <w:r>
      <w:rPr>
        <w:rFonts w:ascii="Times New Roman" w:hAnsi="Times New Roman"/>
        <w:i w:val="0"/>
        <w:szCs w:val="24"/>
      </w:rPr>
      <w:t xml:space="preserve">          </w:t>
    </w:r>
    <w:r w:rsidRPr="00F65D5D">
      <w:rPr>
        <w:rFonts w:ascii="Times New Roman" w:hAnsi="Times New Roman"/>
        <w:i w:val="0"/>
        <w:szCs w:val="24"/>
        <w:u w:val="single"/>
      </w:rPr>
      <w:t>Katasztrófavédelmi Intézet</w:t>
    </w:r>
  </w:p>
  <w:p w14:paraId="458A8A08" w14:textId="77777777"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14:paraId="6EDE357C" w14:textId="77777777"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14:paraId="5DB6DB6B" w14:textId="77777777" w:rsidR="00756F89" w:rsidRPr="00310267" w:rsidRDefault="00756F89" w:rsidP="00756F89">
    <w:pPr>
      <w:jc w:val="center"/>
      <w:rPr>
        <w:rFonts w:ascii="Times New Roman" w:hAnsi="Times New Roman"/>
        <w:i w:val="0"/>
        <w:iCs/>
        <w:szCs w:val="24"/>
      </w:rPr>
    </w:pPr>
    <w:r w:rsidRPr="00310267">
      <w:rPr>
        <w:rFonts w:ascii="Times New Roman" w:hAnsi="Times New Roman"/>
        <w:i w:val="0"/>
        <w:iCs/>
        <w:szCs w:val="24"/>
      </w:rPr>
      <w:t xml:space="preserve">ZÁRÓVIZSGA </w:t>
    </w:r>
    <w:r w:rsidR="0006088F">
      <w:rPr>
        <w:rFonts w:ascii="Times New Roman" w:hAnsi="Times New Roman"/>
        <w:i w:val="0"/>
        <w:iCs/>
        <w:szCs w:val="24"/>
      </w:rPr>
      <w:t>TÉMAKÖRÖK</w:t>
    </w:r>
  </w:p>
  <w:p w14:paraId="4B0C7DFF" w14:textId="77777777" w:rsidR="00756F89" w:rsidRDefault="00DA09C8" w:rsidP="00756F89">
    <w:pPr>
      <w:jc w:val="center"/>
      <w:rPr>
        <w:rFonts w:ascii="Times New Roman" w:hAnsi="Times New Roman"/>
        <w:i w:val="0"/>
        <w:iCs/>
        <w:szCs w:val="24"/>
      </w:rPr>
    </w:pPr>
    <w:r>
      <w:rPr>
        <w:rFonts w:ascii="Calibri" w:hAnsi="Calibri"/>
        <w:i w:val="0"/>
      </w:rPr>
      <w:t>Iparbiztonság</w:t>
    </w:r>
    <w:r w:rsidR="000421AD">
      <w:rPr>
        <w:rFonts w:ascii="Calibri" w:hAnsi="Calibri"/>
        <w:i w:val="0"/>
      </w:rPr>
      <w:t>tan</w:t>
    </w:r>
    <w:r w:rsidR="00A363A3">
      <w:rPr>
        <w:rFonts w:ascii="Calibri" w:hAnsi="Calibri"/>
        <w:i w:val="0"/>
      </w:rPr>
      <w:t xml:space="preserve"> 1-3</w:t>
    </w:r>
    <w:r w:rsidR="00A959F6">
      <w:rPr>
        <w:rFonts w:ascii="Times New Roman" w:hAnsi="Times New Roman"/>
        <w:i w:val="0"/>
        <w:iCs/>
        <w:szCs w:val="24"/>
      </w:rPr>
      <w:t>.</w:t>
    </w:r>
  </w:p>
  <w:p w14:paraId="394A8F95" w14:textId="3240D368" w:rsidR="00756F89" w:rsidRP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  <w:r>
      <w:rPr>
        <w:rFonts w:ascii="Times New Roman" w:hAnsi="Times New Roman"/>
        <w:b w:val="0"/>
        <w:i w:val="0"/>
        <w:iCs/>
        <w:szCs w:val="24"/>
      </w:rPr>
      <w:t>20</w:t>
    </w:r>
    <w:r w:rsidR="000048CD">
      <w:rPr>
        <w:rFonts w:ascii="Times New Roman" w:hAnsi="Times New Roman"/>
        <w:b w:val="0"/>
        <w:i w:val="0"/>
        <w:iCs/>
        <w:szCs w:val="24"/>
      </w:rPr>
      <w:t>2</w:t>
    </w:r>
    <w:r w:rsidR="00465B40">
      <w:rPr>
        <w:rFonts w:ascii="Times New Roman" w:hAnsi="Times New Roman"/>
        <w:b w:val="0"/>
        <w:i w:val="0"/>
        <w:iCs/>
        <w:szCs w:val="24"/>
      </w:rPr>
      <w:t>4</w:t>
    </w:r>
  </w:p>
  <w:p w14:paraId="7C7308D6" w14:textId="77777777" w:rsidR="00756F89" w:rsidRDefault="00756F8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F1D05"/>
    <w:multiLevelType w:val="hybridMultilevel"/>
    <w:tmpl w:val="320AF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906518"/>
    <w:multiLevelType w:val="hybridMultilevel"/>
    <w:tmpl w:val="B15ED6D2"/>
    <w:lvl w:ilvl="0" w:tplc="EC5E8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4E4151"/>
    <w:multiLevelType w:val="hybridMultilevel"/>
    <w:tmpl w:val="6A406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E74295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F35413"/>
    <w:multiLevelType w:val="hybridMultilevel"/>
    <w:tmpl w:val="4446BF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4645342">
    <w:abstractNumId w:val="4"/>
  </w:num>
  <w:num w:numId="2" w16cid:durableId="683704013">
    <w:abstractNumId w:val="2"/>
  </w:num>
  <w:num w:numId="3" w16cid:durableId="1880702734">
    <w:abstractNumId w:val="0"/>
  </w:num>
  <w:num w:numId="4" w16cid:durableId="424499290">
    <w:abstractNumId w:val="3"/>
  </w:num>
  <w:num w:numId="5" w16cid:durableId="81487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D92"/>
    <w:rsid w:val="000048CD"/>
    <w:rsid w:val="00037E50"/>
    <w:rsid w:val="000421AD"/>
    <w:rsid w:val="000442FB"/>
    <w:rsid w:val="0006088F"/>
    <w:rsid w:val="00083294"/>
    <w:rsid w:val="00083814"/>
    <w:rsid w:val="000C0E81"/>
    <w:rsid w:val="000C37A5"/>
    <w:rsid w:val="000C4889"/>
    <w:rsid w:val="000D0824"/>
    <w:rsid w:val="000F021C"/>
    <w:rsid w:val="000F498E"/>
    <w:rsid w:val="00111C6E"/>
    <w:rsid w:val="00180450"/>
    <w:rsid w:val="00192D46"/>
    <w:rsid w:val="001A4B67"/>
    <w:rsid w:val="001E656F"/>
    <w:rsid w:val="001F00A1"/>
    <w:rsid w:val="001F5C27"/>
    <w:rsid w:val="0020290D"/>
    <w:rsid w:val="00214D33"/>
    <w:rsid w:val="0022640F"/>
    <w:rsid w:val="00247223"/>
    <w:rsid w:val="00277430"/>
    <w:rsid w:val="002D076B"/>
    <w:rsid w:val="002F4C89"/>
    <w:rsid w:val="00310267"/>
    <w:rsid w:val="0031196C"/>
    <w:rsid w:val="00325039"/>
    <w:rsid w:val="00343F29"/>
    <w:rsid w:val="0034786F"/>
    <w:rsid w:val="00364458"/>
    <w:rsid w:val="00370631"/>
    <w:rsid w:val="003904FC"/>
    <w:rsid w:val="003A3320"/>
    <w:rsid w:val="003A3A17"/>
    <w:rsid w:val="003A6A01"/>
    <w:rsid w:val="003A7F91"/>
    <w:rsid w:val="003B2ECA"/>
    <w:rsid w:val="003B4E2C"/>
    <w:rsid w:val="003E2120"/>
    <w:rsid w:val="00402ED3"/>
    <w:rsid w:val="00411943"/>
    <w:rsid w:val="00432282"/>
    <w:rsid w:val="00453FAB"/>
    <w:rsid w:val="00465B40"/>
    <w:rsid w:val="00490746"/>
    <w:rsid w:val="004F71EA"/>
    <w:rsid w:val="005055FE"/>
    <w:rsid w:val="00512370"/>
    <w:rsid w:val="00520786"/>
    <w:rsid w:val="0053553A"/>
    <w:rsid w:val="00573DF5"/>
    <w:rsid w:val="005C1059"/>
    <w:rsid w:val="005C43B4"/>
    <w:rsid w:val="005F4192"/>
    <w:rsid w:val="006226C8"/>
    <w:rsid w:val="00630E63"/>
    <w:rsid w:val="00647E85"/>
    <w:rsid w:val="006579DB"/>
    <w:rsid w:val="00666C0D"/>
    <w:rsid w:val="00695561"/>
    <w:rsid w:val="00695D59"/>
    <w:rsid w:val="006B2CE3"/>
    <w:rsid w:val="006B7786"/>
    <w:rsid w:val="006C0F42"/>
    <w:rsid w:val="006E2A1C"/>
    <w:rsid w:val="00744E43"/>
    <w:rsid w:val="00747068"/>
    <w:rsid w:val="00756F89"/>
    <w:rsid w:val="007A7EA4"/>
    <w:rsid w:val="007E4FA7"/>
    <w:rsid w:val="007F6ACC"/>
    <w:rsid w:val="008276C2"/>
    <w:rsid w:val="00831AE7"/>
    <w:rsid w:val="008411D2"/>
    <w:rsid w:val="00851729"/>
    <w:rsid w:val="008613D1"/>
    <w:rsid w:val="0088162C"/>
    <w:rsid w:val="008A2F9D"/>
    <w:rsid w:val="008C302B"/>
    <w:rsid w:val="008D3F63"/>
    <w:rsid w:val="008D5E06"/>
    <w:rsid w:val="008E102E"/>
    <w:rsid w:val="008F1596"/>
    <w:rsid w:val="008F3406"/>
    <w:rsid w:val="00930A1B"/>
    <w:rsid w:val="00974B1A"/>
    <w:rsid w:val="009855B6"/>
    <w:rsid w:val="00985BAE"/>
    <w:rsid w:val="00997142"/>
    <w:rsid w:val="009A05E4"/>
    <w:rsid w:val="009A2710"/>
    <w:rsid w:val="009B12AC"/>
    <w:rsid w:val="009B385D"/>
    <w:rsid w:val="009C0DD0"/>
    <w:rsid w:val="009F23A9"/>
    <w:rsid w:val="009F532F"/>
    <w:rsid w:val="00A01815"/>
    <w:rsid w:val="00A11C72"/>
    <w:rsid w:val="00A20552"/>
    <w:rsid w:val="00A33687"/>
    <w:rsid w:val="00A363A3"/>
    <w:rsid w:val="00A44416"/>
    <w:rsid w:val="00A959F6"/>
    <w:rsid w:val="00AA6910"/>
    <w:rsid w:val="00AE25A3"/>
    <w:rsid w:val="00AE605A"/>
    <w:rsid w:val="00AE741C"/>
    <w:rsid w:val="00B26760"/>
    <w:rsid w:val="00B26AC7"/>
    <w:rsid w:val="00B4294F"/>
    <w:rsid w:val="00B51776"/>
    <w:rsid w:val="00B56366"/>
    <w:rsid w:val="00B86B69"/>
    <w:rsid w:val="00B95087"/>
    <w:rsid w:val="00BC06FD"/>
    <w:rsid w:val="00BC4624"/>
    <w:rsid w:val="00BC6F85"/>
    <w:rsid w:val="00BE5A92"/>
    <w:rsid w:val="00C02730"/>
    <w:rsid w:val="00C25EFD"/>
    <w:rsid w:val="00C30A02"/>
    <w:rsid w:val="00C326F1"/>
    <w:rsid w:val="00C343F9"/>
    <w:rsid w:val="00C428E3"/>
    <w:rsid w:val="00C53248"/>
    <w:rsid w:val="00C56E27"/>
    <w:rsid w:val="00C6544C"/>
    <w:rsid w:val="00C70AA2"/>
    <w:rsid w:val="00C80D2D"/>
    <w:rsid w:val="00C81BE9"/>
    <w:rsid w:val="00CB3A48"/>
    <w:rsid w:val="00CB6303"/>
    <w:rsid w:val="00CC4EE4"/>
    <w:rsid w:val="00CE1430"/>
    <w:rsid w:val="00CE485D"/>
    <w:rsid w:val="00D0195A"/>
    <w:rsid w:val="00D3054E"/>
    <w:rsid w:val="00D41A38"/>
    <w:rsid w:val="00D44DBA"/>
    <w:rsid w:val="00D52CD6"/>
    <w:rsid w:val="00D83740"/>
    <w:rsid w:val="00D84D92"/>
    <w:rsid w:val="00D93FD3"/>
    <w:rsid w:val="00DA09C8"/>
    <w:rsid w:val="00DB0044"/>
    <w:rsid w:val="00E31BBC"/>
    <w:rsid w:val="00EE071A"/>
    <w:rsid w:val="00EE3855"/>
    <w:rsid w:val="00EE5DAA"/>
    <w:rsid w:val="00F0205C"/>
    <w:rsid w:val="00F048C4"/>
    <w:rsid w:val="00F322B7"/>
    <w:rsid w:val="00F43FEC"/>
    <w:rsid w:val="00F65D5D"/>
    <w:rsid w:val="00F8120C"/>
    <w:rsid w:val="00F850FE"/>
    <w:rsid w:val="00FA6BF7"/>
    <w:rsid w:val="00FC1F56"/>
    <w:rsid w:val="00FD3106"/>
    <w:rsid w:val="00FE4681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90EBB"/>
  <w15:docId w15:val="{DEBB41B0-329A-4B29-A324-AD1B954A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14D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214D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b w:val="0"/>
      <w:i w:val="0"/>
      <w:sz w:val="20"/>
      <w:lang w:val="en-US" w:eastAsia="en-US"/>
    </w:rPr>
  </w:style>
  <w:style w:type="character" w:styleId="Jegyzethivatkozs">
    <w:name w:val="annotation reference"/>
    <w:semiHidden/>
    <w:rsid w:val="00520786"/>
    <w:rPr>
      <w:sz w:val="16"/>
      <w:szCs w:val="16"/>
    </w:rPr>
  </w:style>
  <w:style w:type="paragraph" w:styleId="Jegyzetszveg">
    <w:name w:val="annotation text"/>
    <w:basedOn w:val="Norml"/>
    <w:semiHidden/>
    <w:rsid w:val="00520786"/>
    <w:pPr>
      <w:overflowPunct/>
      <w:autoSpaceDE/>
      <w:autoSpaceDN/>
      <w:adjustRightInd/>
      <w:textAlignment w:val="auto"/>
    </w:pPr>
    <w:rPr>
      <w:rFonts w:ascii="Times New Roman" w:hAnsi="Times New Roman"/>
      <w:b w:val="0"/>
      <w:i w:val="0"/>
      <w:sz w:val="20"/>
    </w:rPr>
  </w:style>
  <w:style w:type="paragraph" w:styleId="Buborkszveg">
    <w:name w:val="Balloon Text"/>
    <w:basedOn w:val="Norml"/>
    <w:semiHidden/>
    <w:rsid w:val="0052078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9508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5087"/>
  </w:style>
  <w:style w:type="paragraph" w:styleId="Listaszerbekezds">
    <w:name w:val="List Paragraph"/>
    <w:basedOn w:val="Norml"/>
    <w:uiPriority w:val="34"/>
    <w:qFormat/>
    <w:rsid w:val="00AE25A3"/>
    <w:pPr>
      <w:ind w:left="708"/>
    </w:pPr>
  </w:style>
  <w:style w:type="paragraph" w:styleId="llb">
    <w:name w:val="footer"/>
    <w:basedOn w:val="Norml"/>
    <w:link w:val="llbChar"/>
    <w:rsid w:val="00756F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56F89"/>
    <w:rPr>
      <w:rFonts w:ascii="Arial" w:hAnsi="Arial"/>
      <w:b/>
      <w:i/>
      <w:sz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756F89"/>
    <w:rPr>
      <w:rFonts w:ascii="Arial" w:hAnsi="Arial"/>
      <w:b/>
      <w:i/>
      <w:sz w:val="24"/>
      <w:lang w:val="hu-HU" w:eastAsia="hu-HU"/>
    </w:rPr>
  </w:style>
  <w:style w:type="paragraph" w:customStyle="1" w:styleId="Listaszerbekezds1">
    <w:name w:val="Listaszerű bekezdés1"/>
    <w:basedOn w:val="Norml"/>
    <w:rsid w:val="009C0DD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b w:val="0"/>
      <w:i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26B19-BB28-45FE-8EB9-B5F461F5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>Fővárosi Tűzoltoparancsnokság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creator>drerdosa</dc:creator>
  <cp:lastModifiedBy>Asrock</cp:lastModifiedBy>
  <cp:revision>16</cp:revision>
  <cp:lastPrinted>2013-03-07T08:04:00Z</cp:lastPrinted>
  <dcterms:created xsi:type="dcterms:W3CDTF">2018-02-15T14:18:00Z</dcterms:created>
  <dcterms:modified xsi:type="dcterms:W3CDTF">2024-03-21T02:51:00Z</dcterms:modified>
</cp:coreProperties>
</file>